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09E93DD" w:rsidR="00B97F78" w:rsidRPr="00917AAC" w:rsidRDefault="003E336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08</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877055D" w:rsidR="00B97F78" w:rsidRPr="003E3361" w:rsidRDefault="003E336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3E3361">
        <w:trPr>
          <w:trHeight w:val="505"/>
        </w:trPr>
        <w:tc>
          <w:tcPr>
            <w:tcW w:w="5277" w:type="dxa"/>
            <w:tcBorders>
              <w:bottom w:val="single" w:sz="4" w:space="0" w:color="auto"/>
            </w:tcBorders>
            <w:vAlign w:val="center"/>
          </w:tcPr>
          <w:p w14:paraId="19C67306" w14:textId="0C369DF5" w:rsidR="00C24C2F" w:rsidRPr="00B9052C" w:rsidRDefault="003E3361" w:rsidP="003E3361">
            <w:pPr>
              <w:spacing w:after="60"/>
              <w:jc w:val="center"/>
              <w:rPr>
                <w:rFonts w:ascii="Times New Roman" w:hAnsi="Times New Roman"/>
              </w:rPr>
            </w:pPr>
            <w:r w:rsidRPr="003E3361">
              <w:rPr>
                <w:rFonts w:ascii="Times New Roman" w:hAnsi="Times New Roman"/>
                <w:sz w:val="28"/>
              </w:rPr>
              <w:t>4-02-01000-B-002P</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EA44504"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6240EF" w:rsidRPr="006240EF">
        <w:rPr>
          <w:rFonts w:ascii="Times New Roman" w:hAnsi="Times New Roman"/>
          <w:b/>
          <w:bCs/>
          <w:i/>
          <w:iCs/>
          <w:sz w:val="24"/>
          <w:szCs w:val="24"/>
        </w:rPr>
        <w:t>, с возможностью досрочного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СУБ-Т2-</w:t>
      </w:r>
      <w:r w:rsidR="004F7346">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номинальной стоимостью 1</w:t>
      </w:r>
      <w:r w:rsidR="006240EF" w:rsidRPr="006240EF">
        <w:rPr>
          <w:rFonts w:ascii="Times New Roman" w:hAnsi="Times New Roman"/>
          <w:b/>
          <w:bCs/>
          <w:i/>
          <w:iCs/>
          <w:sz w:val="24"/>
          <w:szCs w:val="24"/>
        </w:rPr>
        <w:t>0 000</w:t>
      </w:r>
      <w:r w:rsidRPr="0085492C">
        <w:rPr>
          <w:rFonts w:ascii="Times New Roman" w:hAnsi="Times New Roman"/>
          <w:b/>
          <w:bCs/>
          <w:i/>
          <w:iCs/>
          <w:sz w:val="24"/>
          <w:szCs w:val="24"/>
        </w:rPr>
        <w:t> 000 (</w:t>
      </w:r>
      <w:r w:rsidR="006240EF" w:rsidRPr="006240EF">
        <w:rPr>
          <w:rFonts w:ascii="Times New Roman" w:hAnsi="Times New Roman"/>
          <w:b/>
          <w:bCs/>
          <w:i/>
          <w:iCs/>
          <w:sz w:val="24"/>
          <w:szCs w:val="24"/>
        </w:rPr>
        <w:t>Десять миллионов</w:t>
      </w:r>
      <w:r w:rsidRPr="0085492C">
        <w:rPr>
          <w:rFonts w:ascii="Times New Roman" w:hAnsi="Times New Roman"/>
          <w:b/>
          <w:bCs/>
          <w:i/>
          <w:iCs/>
          <w:sz w:val="24"/>
          <w:szCs w:val="24"/>
        </w:rPr>
        <w:t xml:space="preserve">) российских рублей каждая, со сроком погашения в </w:t>
      </w:r>
      <w:r w:rsidR="006240EF" w:rsidRPr="006240EF">
        <w:rPr>
          <w:rFonts w:ascii="Times New Roman" w:hAnsi="Times New Roman"/>
          <w:b/>
          <w:bCs/>
          <w:i/>
          <w:iCs/>
          <w:sz w:val="24"/>
          <w:szCs w:val="24"/>
        </w:rPr>
        <w:t>3 822-й (Три тысячи восемьсот двадцать второй)</w:t>
      </w:r>
      <w:r w:rsidRPr="0085492C">
        <w:rPr>
          <w:rFonts w:ascii="Times New Roman" w:hAnsi="Times New Roman"/>
          <w:b/>
          <w:bCs/>
          <w:i/>
          <w:iCs/>
          <w:sz w:val="24"/>
          <w:szCs w:val="24"/>
        </w:rPr>
        <w:t xml:space="preserve"> день с даты начала размещения облигаций</w:t>
      </w:r>
      <w:r w:rsidR="00157E5E">
        <w:rPr>
          <w:rFonts w:ascii="Times New Roman" w:hAnsi="Times New Roman"/>
          <w:b/>
          <w:bCs/>
          <w:i/>
          <w:iCs/>
          <w:sz w:val="24"/>
          <w:szCs w:val="24"/>
        </w:rPr>
        <w:t>,</w:t>
      </w:r>
      <w:r w:rsidR="001C5C15">
        <w:rPr>
          <w:rFonts w:ascii="Times New Roman" w:hAnsi="Times New Roman"/>
          <w:b/>
          <w:bCs/>
          <w:i/>
          <w:iCs/>
          <w:sz w:val="24"/>
          <w:szCs w:val="24"/>
        </w:rPr>
        <w:t xml:space="preserve"> </w:t>
      </w:r>
      <w:r w:rsidRPr="0085492C">
        <w:rPr>
          <w:rFonts w:ascii="Times New Roman" w:hAnsi="Times New Roman"/>
          <w:b/>
          <w:bCs/>
          <w:i/>
          <w:iCs/>
          <w:sz w:val="24"/>
          <w:szCs w:val="24"/>
        </w:rPr>
        <w:t xml:space="preserve">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556433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СУБ-Т2</w:t>
      </w:r>
      <w:r w:rsidRPr="00DF4922">
        <w:rPr>
          <w:rFonts w:ascii="Times New Roman" w:hAnsi="Times New Roman"/>
          <w:b/>
          <w:bCs/>
          <w:i/>
          <w:iCs/>
          <w:sz w:val="24"/>
          <w:szCs w:val="24"/>
        </w:rPr>
        <w:t>,</w:t>
      </w:r>
    </w:p>
    <w:p w14:paraId="5609AAF5" w14:textId="5EF894C6"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ционный номер</w:t>
      </w:r>
      <w:r w:rsidR="005A5FB9">
        <w:rPr>
          <w:rFonts w:ascii="Times New Roman" w:hAnsi="Times New Roman"/>
          <w:b/>
          <w:bCs/>
          <w:i/>
          <w:iCs/>
          <w:sz w:val="24"/>
          <w:szCs w:val="24"/>
        </w:rPr>
        <w:t xml:space="preserve"> </w:t>
      </w:r>
      <w:r w:rsidR="005A5FB9" w:rsidRPr="005A5FB9">
        <w:rPr>
          <w:rFonts w:ascii="Times New Roman" w:hAnsi="Times New Roman"/>
          <w:b/>
          <w:bCs/>
          <w:i/>
          <w:iCs/>
          <w:sz w:val="24"/>
          <w:szCs w:val="24"/>
        </w:rPr>
        <w:t>4-01000-B-002P</w:t>
      </w:r>
      <w:r w:rsidRPr="00DF4922">
        <w:rPr>
          <w:rFonts w:ascii="Times New Roman" w:hAnsi="Times New Roman"/>
          <w:b/>
          <w:bCs/>
          <w:i/>
          <w:iCs/>
          <w:sz w:val="24"/>
          <w:szCs w:val="24"/>
        </w:rPr>
        <w:t xml:space="preserve"> от «</w:t>
      </w:r>
      <w:r w:rsidR="005A5FB9">
        <w:rPr>
          <w:rFonts w:ascii="Times New Roman" w:hAnsi="Times New Roman"/>
          <w:b/>
          <w:bCs/>
          <w:i/>
          <w:iCs/>
          <w:sz w:val="24"/>
          <w:szCs w:val="24"/>
        </w:rPr>
        <w:t>24</w:t>
      </w:r>
      <w:r w:rsidRPr="00DF4922">
        <w:rPr>
          <w:rFonts w:ascii="Times New Roman" w:hAnsi="Times New Roman"/>
          <w:b/>
          <w:bCs/>
          <w:i/>
          <w:iCs/>
          <w:sz w:val="24"/>
          <w:szCs w:val="24"/>
        </w:rPr>
        <w:t xml:space="preserve">» </w:t>
      </w:r>
      <w:r w:rsidR="005A5FB9">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4AF81B46"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СУБ-Т2</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5A5FB9">
        <w:rPr>
          <w:rFonts w:ascii="Times New Roman" w:hAnsi="Times New Roman"/>
          <w:b/>
          <w:bCs/>
          <w:i/>
          <w:iCs/>
          <w:sz w:val="24"/>
          <w:szCs w:val="24"/>
        </w:rPr>
        <w:t>09</w:t>
      </w:r>
      <w:r w:rsidRPr="001B0BD8">
        <w:rPr>
          <w:rFonts w:ascii="Times New Roman" w:hAnsi="Times New Roman"/>
          <w:b/>
          <w:bCs/>
          <w:i/>
          <w:iCs/>
          <w:sz w:val="24"/>
          <w:szCs w:val="24"/>
        </w:rPr>
        <w:t xml:space="preserve">» </w:t>
      </w:r>
      <w:r w:rsidR="005A5FB9">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5A5FB9">
        <w:rPr>
          <w:rFonts w:ascii="Times New Roman" w:hAnsi="Times New Roman"/>
          <w:b/>
          <w:bCs/>
          <w:i/>
          <w:iCs/>
          <w:sz w:val="24"/>
          <w:szCs w:val="24"/>
        </w:rPr>
        <w:t>12</w:t>
      </w:r>
      <w:r w:rsidRPr="001B0BD8">
        <w:rPr>
          <w:rFonts w:ascii="Times New Roman" w:hAnsi="Times New Roman"/>
          <w:b/>
          <w:bCs/>
          <w:i/>
          <w:iCs/>
          <w:sz w:val="24"/>
          <w:szCs w:val="24"/>
        </w:rPr>
        <w:t xml:space="preserve"> от «</w:t>
      </w:r>
      <w:r w:rsidR="005A5FB9">
        <w:rPr>
          <w:rFonts w:ascii="Times New Roman" w:hAnsi="Times New Roman"/>
          <w:b/>
          <w:bCs/>
          <w:i/>
          <w:iCs/>
          <w:sz w:val="24"/>
          <w:szCs w:val="24"/>
        </w:rPr>
        <w:t>09</w:t>
      </w:r>
      <w:r w:rsidRPr="001B0BD8">
        <w:rPr>
          <w:rFonts w:ascii="Times New Roman" w:hAnsi="Times New Roman"/>
          <w:b/>
          <w:bCs/>
          <w:i/>
          <w:iCs/>
          <w:sz w:val="24"/>
          <w:szCs w:val="24"/>
        </w:rPr>
        <w:t xml:space="preserve">» </w:t>
      </w:r>
      <w:r w:rsidR="005A5FB9">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31DBDD2A" w14:textId="77777777" w:rsidR="000B2417" w:rsidRPr="001C5C15" w:rsidRDefault="000B2417" w:rsidP="00631A9B">
            <w:pPr>
              <w:spacing w:after="0" w:line="240" w:lineRule="auto"/>
              <w:ind w:left="142"/>
              <w:rPr>
                <w:rFonts w:ascii="Times New Roman" w:hAnsi="Times New Roman"/>
                <w:b/>
                <w:color w:val="000000"/>
              </w:rPr>
            </w:pPr>
          </w:p>
          <w:p w14:paraId="7B336525" w14:textId="084784E5" w:rsidR="00762460" w:rsidRDefault="006240EF" w:rsidP="00631A9B">
            <w:pPr>
              <w:spacing w:after="0" w:line="240" w:lineRule="auto"/>
              <w:ind w:left="142"/>
              <w:rPr>
                <w:rFonts w:ascii="Times New Roman" w:hAnsi="Times New Roman"/>
                <w:b/>
                <w:color w:val="000000"/>
                <w:lang w:val="en-US"/>
              </w:rPr>
            </w:pPr>
            <w:r>
              <w:rPr>
                <w:rFonts w:ascii="Times New Roman" w:hAnsi="Times New Roman"/>
                <w:b/>
                <w:color w:val="000000"/>
                <w:lang w:val="en-US"/>
              </w:rPr>
              <w:t>Президент</w:t>
            </w:r>
            <w:r w:rsidR="000B2417">
              <w:rPr>
                <w:rFonts w:ascii="Times New Roman" w:hAnsi="Times New Roman"/>
                <w:b/>
                <w:color w:val="000000"/>
                <w:lang w:val="en-US"/>
              </w:rPr>
              <w:t xml:space="preserve"> – </w:t>
            </w:r>
            <w:r>
              <w:rPr>
                <w:rFonts w:ascii="Times New Roman" w:hAnsi="Times New Roman"/>
                <w:b/>
                <w:color w:val="000000"/>
                <w:lang w:val="en-US"/>
              </w:rPr>
              <w:t>Председатель Правления</w:t>
            </w:r>
          </w:p>
          <w:p w14:paraId="1F3A8D75" w14:textId="54DA7986" w:rsidR="000B2417" w:rsidRPr="006240EF" w:rsidRDefault="000B2417" w:rsidP="00631A9B">
            <w:pPr>
              <w:spacing w:after="0" w:line="240" w:lineRule="auto"/>
              <w:ind w:left="142"/>
              <w:rPr>
                <w:rFonts w:ascii="Times New Roman" w:hAnsi="Times New Roman"/>
                <w:b/>
                <w:color w:val="000000" w:themeColor="text1"/>
                <w:sz w:val="24"/>
                <w:lang w:val="en-US"/>
              </w:rPr>
            </w:pP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1F7B32BA" w14:textId="77777777" w:rsidR="000B2417" w:rsidRDefault="00762460" w:rsidP="006240EF">
            <w:pPr>
              <w:spacing w:after="0" w:line="240" w:lineRule="auto"/>
              <w:ind w:left="607"/>
              <w:rPr>
                <w:rFonts w:ascii="Times New Roman" w:hAnsi="Times New Roman"/>
                <w:b/>
                <w:color w:val="000000" w:themeColor="text1"/>
                <w:sz w:val="24"/>
                <w:lang w:val="en-US"/>
              </w:rPr>
            </w:pPr>
            <w:r w:rsidRPr="0085492C">
              <w:rPr>
                <w:rFonts w:ascii="Times New Roman" w:hAnsi="Times New Roman"/>
                <w:b/>
                <w:color w:val="000000" w:themeColor="text1"/>
                <w:sz w:val="24"/>
              </w:rPr>
              <w:t xml:space="preserve"> </w:t>
            </w:r>
          </w:p>
          <w:p w14:paraId="5AC0549F" w14:textId="5455D0AD" w:rsidR="00762460" w:rsidRDefault="006240EF" w:rsidP="006240EF">
            <w:pPr>
              <w:spacing w:after="0" w:line="240" w:lineRule="auto"/>
              <w:ind w:left="607"/>
              <w:rPr>
                <w:rFonts w:ascii="Times New Roman" w:hAnsi="Times New Roman"/>
                <w:b/>
                <w:color w:val="000000" w:themeColor="text1"/>
                <w:sz w:val="24"/>
                <w:lang w:val="en-US"/>
              </w:rPr>
            </w:pPr>
            <w:r>
              <w:rPr>
                <w:rFonts w:ascii="Times New Roman" w:hAnsi="Times New Roman"/>
                <w:b/>
                <w:color w:val="000000" w:themeColor="text1"/>
                <w:sz w:val="24"/>
                <w:lang w:val="en-US"/>
              </w:rPr>
              <w:t>А.Л. Костин</w:t>
            </w:r>
          </w:p>
          <w:p w14:paraId="53593B52" w14:textId="0A662135" w:rsidR="000B2417" w:rsidRPr="006240EF" w:rsidRDefault="000B2417" w:rsidP="006240EF">
            <w:pPr>
              <w:spacing w:after="0" w:line="240" w:lineRule="auto"/>
              <w:ind w:left="607"/>
              <w:rPr>
                <w:rFonts w:ascii="Times New Roman" w:hAnsi="Times New Roman"/>
                <w:b/>
                <w:color w:val="000000" w:themeColor="text1"/>
                <w:sz w:val="24"/>
                <w:lang w:val="en-US"/>
              </w:rPr>
            </w:pP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2D1418EE"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СУБ-Т2</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7D5952">
        <w:rPr>
          <w:rFonts w:ascii="Times New Roman" w:hAnsi="Times New Roman"/>
          <w:b/>
          <w:bCs/>
          <w:i/>
          <w:iCs/>
        </w:rPr>
        <w:t xml:space="preserve">ационный номер </w:t>
      </w:r>
      <w:r w:rsidR="005A5FB9" w:rsidRPr="00E71ACF">
        <w:rPr>
          <w:rFonts w:ascii="Times New Roman" w:hAnsi="Times New Roman"/>
          <w:b/>
          <w:bCs/>
          <w:i/>
          <w:iCs/>
        </w:rPr>
        <w:t>4-01000-</w:t>
      </w:r>
      <w:r w:rsidR="005A5FB9">
        <w:rPr>
          <w:rFonts w:ascii="Times New Roman" w:hAnsi="Times New Roman"/>
          <w:b/>
          <w:bCs/>
          <w:i/>
          <w:iCs/>
          <w:lang w:val="en-US"/>
        </w:rPr>
        <w:t>B</w:t>
      </w:r>
      <w:r w:rsidR="005A5FB9" w:rsidRPr="00E71ACF">
        <w:rPr>
          <w:rFonts w:ascii="Times New Roman" w:hAnsi="Times New Roman"/>
          <w:b/>
          <w:bCs/>
          <w:i/>
          <w:iCs/>
        </w:rPr>
        <w:t>-002</w:t>
      </w:r>
      <w:r w:rsidR="005A5FB9">
        <w:rPr>
          <w:rFonts w:ascii="Times New Roman" w:hAnsi="Times New Roman"/>
          <w:b/>
          <w:bCs/>
          <w:i/>
          <w:iCs/>
          <w:lang w:val="en-US"/>
        </w:rPr>
        <w:t>P</w:t>
      </w:r>
      <w:r w:rsidR="00762460" w:rsidRPr="001B0BD8">
        <w:rPr>
          <w:rFonts w:ascii="Times New Roman" w:hAnsi="Times New Roman"/>
          <w:b/>
          <w:bCs/>
          <w:i/>
          <w:iCs/>
        </w:rPr>
        <w:t xml:space="preserve"> от </w:t>
      </w:r>
      <w:r w:rsidR="005A5FB9" w:rsidRPr="00E71ACF">
        <w:rPr>
          <w:rFonts w:ascii="Times New Roman" w:hAnsi="Times New Roman"/>
          <w:b/>
          <w:bCs/>
          <w:i/>
          <w:iCs/>
        </w:rPr>
        <w:t>24</w:t>
      </w:r>
      <w:r w:rsidR="000B2417" w:rsidRPr="001B0BD8">
        <w:rPr>
          <w:rFonts w:ascii="Times New Roman" w:hAnsi="Times New Roman"/>
          <w:b/>
          <w:bCs/>
          <w:i/>
          <w:iCs/>
        </w:rPr>
        <w:t>.</w:t>
      </w:r>
      <w:r w:rsidR="005A5FB9" w:rsidRPr="00E71ACF">
        <w:rPr>
          <w:rFonts w:ascii="Times New Roman" w:hAnsi="Times New Roman"/>
          <w:b/>
          <w:bCs/>
          <w:i/>
          <w:iCs/>
        </w:rPr>
        <w:t>09</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060E20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 с возможностью досрочного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01706678"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СУБ-Т2-</w:t>
      </w:r>
      <w:r w:rsidR="004F7346">
        <w:rPr>
          <w:rFonts w:ascii="Times New Roman" w:hAnsi="Times New Roman"/>
          <w:b/>
          <w:bCs/>
          <w:i/>
          <w:iCs/>
        </w:rPr>
        <w:t>2</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475D8B7E"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Pr="001B0BD8">
        <w:rPr>
          <w:rFonts w:ascii="Times New Roman" w:hAnsi="Times New Roman"/>
          <w:b/>
          <w:bCs/>
          <w:i/>
          <w:iCs/>
        </w:rPr>
        <w:t>1</w:t>
      </w:r>
      <w:r w:rsidR="00157E5E" w:rsidRPr="001B0BD8">
        <w:rPr>
          <w:rFonts w:ascii="Times New Roman" w:hAnsi="Times New Roman"/>
          <w:b/>
          <w:bCs/>
          <w:i/>
          <w:iCs/>
        </w:rPr>
        <w:t>0 000</w:t>
      </w:r>
      <w:r w:rsidRPr="001B0BD8">
        <w:rPr>
          <w:rFonts w:ascii="Times New Roman" w:hAnsi="Times New Roman"/>
          <w:b/>
          <w:bCs/>
          <w:i/>
          <w:iCs/>
        </w:rPr>
        <w:t xml:space="preserve"> 000 (</w:t>
      </w:r>
      <w:r w:rsidR="00157E5E" w:rsidRPr="001B0BD8">
        <w:rPr>
          <w:rFonts w:ascii="Times New Roman" w:hAnsi="Times New Roman"/>
          <w:b/>
          <w:bCs/>
          <w:i/>
          <w:iCs/>
        </w:rPr>
        <w:t>Десять миллионов</w:t>
      </w:r>
      <w:r w:rsidRPr="001B0BD8">
        <w:rPr>
          <w:rFonts w:ascii="Times New Roman" w:hAnsi="Times New Roman"/>
          <w:b/>
          <w:bCs/>
          <w:i/>
          <w:iCs/>
        </w:rPr>
        <w:t>) российских рублей.</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4.2.3. Для облигаций без срока погашения:</w:t>
      </w:r>
    </w:p>
    <w:p w14:paraId="02799FE6"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lastRenderedPageBreak/>
        <w:t>Не применимо. Размещаемые ценные бумаги не являются облигациями без срока погашения.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блигацией, переходят к их приобретателю с даты перехода 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lastRenderedPageBreak/>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60B9D142" w14:textId="5C303A14"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Pr="00621C4C">
        <w:rPr>
          <w:rFonts w:ascii="Times New Roman" w:hAnsi="Times New Roman"/>
          <w:b/>
          <w:bCs/>
          <w:i/>
          <w:iCs/>
        </w:rPr>
        <w:t xml:space="preserve">в безналичном порядке. 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24EEC1C1" w14:textId="317F8BFA" w:rsidR="005909FC" w:rsidRPr="00621C4C" w:rsidRDefault="00361ECF"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О</w:t>
      </w:r>
      <w:r w:rsidR="005909FC" w:rsidRPr="00621C4C">
        <w:rPr>
          <w:rFonts w:ascii="Times New Roman" w:hAnsi="Times New Roman"/>
          <w:b/>
          <w:bCs/>
          <w:i/>
          <w:iCs/>
        </w:rPr>
        <w:t xml:space="preserve">блигации погашаются по номинальной стоимости в </w:t>
      </w:r>
      <w:r w:rsidRPr="00621C4C">
        <w:rPr>
          <w:rFonts w:ascii="Times New Roman" w:hAnsi="Times New Roman"/>
          <w:b/>
          <w:bCs/>
          <w:i/>
          <w:iCs/>
        </w:rPr>
        <w:t>3 822-й (Три тысячи восемьсот двадцать второй)</w:t>
      </w:r>
      <w:r w:rsidR="005909FC" w:rsidRPr="00621C4C">
        <w:rPr>
          <w:rFonts w:ascii="Times New Roman" w:hAnsi="Times New Roman"/>
          <w:b/>
          <w:bCs/>
          <w:i/>
          <w:iCs/>
        </w:rPr>
        <w:t xml:space="preserve"> день с даты начала размещения </w:t>
      </w:r>
      <w:r w:rsidRPr="00621C4C">
        <w:rPr>
          <w:rFonts w:ascii="Times New Roman" w:hAnsi="Times New Roman"/>
          <w:b/>
          <w:bCs/>
          <w:i/>
          <w:iCs/>
        </w:rPr>
        <w:t>О</w:t>
      </w:r>
      <w:r w:rsidR="005909FC" w:rsidRPr="00621C4C">
        <w:rPr>
          <w:rFonts w:ascii="Times New Roman" w:hAnsi="Times New Roman"/>
          <w:b/>
          <w:bCs/>
          <w:i/>
          <w:iCs/>
        </w:rPr>
        <w:t>блигаций</w:t>
      </w:r>
      <w:r w:rsidR="00673402" w:rsidRPr="00621C4C">
        <w:rPr>
          <w:rFonts w:ascii="Times New Roman" w:hAnsi="Times New Roman"/>
          <w:b/>
          <w:bCs/>
          <w:i/>
          <w:iCs/>
        </w:rPr>
        <w:t xml:space="preserve"> (далее – «Дата погашения»)</w:t>
      </w:r>
      <w:r w:rsidR="005909FC" w:rsidRPr="00621C4C">
        <w:rPr>
          <w:rFonts w:ascii="Times New Roman" w:hAnsi="Times New Roman"/>
          <w:b/>
          <w:bCs/>
          <w:i/>
          <w:iCs/>
        </w:rPr>
        <w:t xml:space="preserve">. </w:t>
      </w:r>
    </w:p>
    <w:p w14:paraId="768BC055" w14:textId="45143F2A" w:rsidR="005909FC" w:rsidRPr="00621C4C" w:rsidRDefault="005909FC"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Даты начала и окончания погашения </w:t>
      </w:r>
      <w:r w:rsidR="00361ECF" w:rsidRPr="00621C4C">
        <w:rPr>
          <w:rFonts w:ascii="Times New Roman" w:hAnsi="Times New Roman"/>
          <w:b/>
          <w:bCs/>
          <w:i/>
          <w:iCs/>
        </w:rPr>
        <w:t>О</w:t>
      </w:r>
      <w:r w:rsidRPr="00621C4C">
        <w:rPr>
          <w:rFonts w:ascii="Times New Roman" w:hAnsi="Times New Roman"/>
          <w:b/>
          <w:bCs/>
          <w:i/>
          <w:iCs/>
        </w:rPr>
        <w:t>блигаций выпуска совпадают.</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479E4BFE" w14:textId="72761821"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Выплата производится денежными средствами в </w:t>
      </w:r>
      <w:r w:rsidR="001679DE" w:rsidRPr="00621C4C">
        <w:rPr>
          <w:rFonts w:ascii="Times New Roman" w:hAnsi="Times New Roman"/>
          <w:b/>
          <w:bCs/>
          <w:i/>
          <w:iCs/>
        </w:rPr>
        <w:t xml:space="preserve">российских </w:t>
      </w:r>
      <w:r w:rsidRPr="00621C4C">
        <w:rPr>
          <w:rFonts w:ascii="Times New Roman" w:hAnsi="Times New Roman"/>
          <w:b/>
          <w:bCs/>
          <w:i/>
          <w:iCs/>
        </w:rPr>
        <w:t>рублях</w:t>
      </w:r>
      <w:r w:rsidR="00017413" w:rsidRPr="00621C4C">
        <w:rPr>
          <w:rFonts w:ascii="Times New Roman" w:hAnsi="Times New Roman"/>
          <w:b/>
          <w:bCs/>
          <w:i/>
          <w:iCs/>
        </w:rPr>
        <w:t xml:space="preserve"> в безналичном порядке</w:t>
      </w:r>
      <w:r w:rsidRPr="00621C4C">
        <w:rPr>
          <w:rFonts w:ascii="Times New Roman" w:hAnsi="Times New Roman"/>
          <w:b/>
          <w:bCs/>
          <w:i/>
          <w:iCs/>
        </w:rPr>
        <w:t>.</w:t>
      </w:r>
    </w:p>
    <w:p w14:paraId="1ED62A8A" w14:textId="76FD0EFF" w:rsidR="005F3416" w:rsidRPr="00621C4C" w:rsidRDefault="00361ECF"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О</w:t>
      </w:r>
      <w:r w:rsidR="005F3416" w:rsidRPr="00621C4C">
        <w:rPr>
          <w:rFonts w:ascii="Times New Roman" w:hAnsi="Times New Roman"/>
          <w:b/>
          <w:bCs/>
          <w:i/>
          <w:iCs/>
        </w:rPr>
        <w:t xml:space="preserve">блигации являются ценными бумагами с централизованным учетом прав. </w:t>
      </w:r>
    </w:p>
    <w:p w14:paraId="192AACC1" w14:textId="40C78EF3" w:rsidR="00E209CC" w:rsidRPr="00621C4C" w:rsidRDefault="00E209CC"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E31AA4" w:rsidRPr="00621C4C">
        <w:rPr>
          <w:rFonts w:ascii="Times New Roman" w:hAnsi="Times New Roman"/>
          <w:b/>
          <w:bCs/>
          <w:i/>
          <w:iCs/>
        </w:rPr>
        <w:t>О</w:t>
      </w:r>
      <w:r w:rsidRPr="00621C4C">
        <w:rPr>
          <w:rFonts w:ascii="Times New Roman" w:hAnsi="Times New Roman"/>
          <w:b/>
          <w:bCs/>
          <w:i/>
          <w:iCs/>
        </w:rPr>
        <w:t xml:space="preserve">блигации. </w:t>
      </w:r>
    </w:p>
    <w:p w14:paraId="44AA8A1A" w14:textId="6E4185E9" w:rsidR="00E209CC" w:rsidRPr="00621C4C" w:rsidRDefault="00E209CC" w:rsidP="000149A3">
      <w:pPr>
        <w:autoSpaceDE w:val="0"/>
        <w:autoSpaceDN w:val="0"/>
        <w:adjustRightInd w:val="0"/>
        <w:spacing w:before="120" w:after="120" w:line="240" w:lineRule="auto"/>
        <w:jc w:val="both"/>
        <w:rPr>
          <w:rFonts w:ascii="Times New Roman" w:hAnsi="Times New Roman"/>
          <w:b/>
          <w:bCs/>
          <w:i/>
          <w:iCs/>
          <w:strike/>
        </w:rPr>
      </w:pPr>
      <w:r w:rsidRPr="00621C4C">
        <w:rPr>
          <w:rFonts w:ascii="Times New Roman" w:hAnsi="Times New Roman"/>
          <w:b/>
          <w:bCs/>
          <w:i/>
          <w:iCs/>
        </w:rPr>
        <w:t xml:space="preserve">Владельцы </w:t>
      </w:r>
      <w:r w:rsidR="00E31AA4" w:rsidRPr="00621C4C">
        <w:rPr>
          <w:rFonts w:ascii="Times New Roman" w:hAnsi="Times New Roman"/>
          <w:b/>
          <w:bCs/>
          <w:i/>
          <w:iCs/>
        </w:rPr>
        <w:t>О</w:t>
      </w:r>
      <w:r w:rsidRPr="00621C4C">
        <w:rPr>
          <w:rFonts w:ascii="Times New Roman" w:hAnsi="Times New Roman"/>
          <w:b/>
          <w:bCs/>
          <w:i/>
          <w:iCs/>
        </w:rPr>
        <w:t xml:space="preserve">блигаций и иные лица, осуществляющие в соответствии с федеральными законами права по </w:t>
      </w:r>
      <w:r w:rsidR="00E31AA4" w:rsidRPr="00621C4C">
        <w:rPr>
          <w:rFonts w:ascii="Times New Roman" w:hAnsi="Times New Roman"/>
          <w:b/>
          <w:bCs/>
          <w:i/>
          <w:iCs/>
        </w:rPr>
        <w:t>О</w:t>
      </w:r>
      <w:r w:rsidRPr="00621C4C">
        <w:rPr>
          <w:rFonts w:ascii="Times New Roman" w:hAnsi="Times New Roman"/>
          <w:b/>
          <w:bCs/>
          <w:i/>
          <w:iCs/>
        </w:rPr>
        <w:t xml:space="preserve">блигациям, получают причитающиеся им денежные выплаты в счет погашения </w:t>
      </w:r>
      <w:r w:rsidR="00E31AA4" w:rsidRPr="00621C4C">
        <w:rPr>
          <w:rFonts w:ascii="Times New Roman" w:hAnsi="Times New Roman"/>
          <w:b/>
          <w:bCs/>
          <w:i/>
          <w:iCs/>
        </w:rPr>
        <w:t>О</w:t>
      </w:r>
      <w:r w:rsidRPr="00621C4C">
        <w:rPr>
          <w:rFonts w:ascii="Times New Roman" w:hAnsi="Times New Roman"/>
          <w:b/>
          <w:bCs/>
          <w:i/>
          <w:iCs/>
        </w:rPr>
        <w:t>блигаций через депозитарий, депонентами которого они являются.</w:t>
      </w:r>
      <w:r w:rsidR="00EF66D0" w:rsidRPr="00621C4C">
        <w:rPr>
          <w:rFonts w:ascii="Times New Roman" w:hAnsi="Times New Roman"/>
          <w:b/>
          <w:bCs/>
          <w:i/>
          <w:iCs/>
        </w:rPr>
        <w:t xml:space="preserve"> Для получения выплат по </w:t>
      </w:r>
      <w:r w:rsidR="00E31AA4" w:rsidRPr="00621C4C">
        <w:rPr>
          <w:rFonts w:ascii="Times New Roman" w:hAnsi="Times New Roman"/>
          <w:b/>
          <w:bCs/>
          <w:i/>
          <w:iCs/>
        </w:rPr>
        <w:t>О</w:t>
      </w:r>
      <w:r w:rsidR="00EF66D0" w:rsidRPr="00621C4C">
        <w:rPr>
          <w:rFonts w:ascii="Times New Roman" w:hAnsi="Times New Roman"/>
          <w:b/>
          <w:bCs/>
          <w:i/>
          <w:iCs/>
        </w:rPr>
        <w:t xml:space="preserve">блигациям указанные лица должны иметь банковский счет в </w:t>
      </w:r>
      <w:r w:rsidR="000E6B2F">
        <w:rPr>
          <w:rFonts w:ascii="Times New Roman" w:hAnsi="Times New Roman"/>
          <w:b/>
          <w:bCs/>
          <w:i/>
          <w:iCs/>
        </w:rPr>
        <w:t xml:space="preserve">российских </w:t>
      </w:r>
      <w:r w:rsidR="00EF66D0" w:rsidRPr="00621C4C">
        <w:rPr>
          <w:rFonts w:ascii="Times New Roman" w:hAnsi="Times New Roman"/>
          <w:b/>
          <w:bCs/>
          <w:i/>
          <w:iCs/>
        </w:rPr>
        <w:t>рублях.</w:t>
      </w:r>
    </w:p>
    <w:p w14:paraId="6588A591" w14:textId="555EC8B6" w:rsidR="00EF66D0" w:rsidRPr="00621C4C" w:rsidRDefault="00E209CC"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Передача денежных выплат в счет погашения </w:t>
      </w:r>
      <w:r w:rsidR="00E31AA4" w:rsidRPr="00621C4C">
        <w:rPr>
          <w:rFonts w:ascii="Times New Roman" w:hAnsi="Times New Roman"/>
          <w:b/>
          <w:bCs/>
          <w:i/>
          <w:iCs/>
        </w:rPr>
        <w:t>О</w:t>
      </w:r>
      <w:r w:rsidRPr="00621C4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FF5EE8" w:rsidRPr="00621C4C">
        <w:rPr>
          <w:rFonts w:ascii="Times New Roman" w:hAnsi="Times New Roman"/>
          <w:b/>
          <w:bCs/>
          <w:i/>
          <w:iCs/>
        </w:rPr>
        <w:t>о</w:t>
      </w:r>
      <w:r w:rsidRPr="00621C4C">
        <w:rPr>
          <w:rFonts w:ascii="Times New Roman" w:hAnsi="Times New Roman"/>
          <w:b/>
          <w:bCs/>
          <w:i/>
          <w:iCs/>
        </w:rPr>
        <w:t xml:space="preserve"> рынке ценных бумаг</w:t>
      </w:r>
      <w:r w:rsidR="005B6071" w:rsidRPr="00621C4C">
        <w:rPr>
          <w:rFonts w:ascii="Times New Roman" w:hAnsi="Times New Roman"/>
          <w:b/>
          <w:bCs/>
          <w:i/>
          <w:iCs/>
        </w:rPr>
        <w:t>,</w:t>
      </w:r>
      <w:r w:rsidR="00D05F47" w:rsidRPr="00621C4C">
        <w:rPr>
          <w:rFonts w:ascii="Times New Roman" w:hAnsi="Times New Roman" w:cs="Times New Roman"/>
          <w:b/>
          <w:i/>
        </w:rPr>
        <w:t xml:space="preserve"> </w:t>
      </w:r>
      <w:r w:rsidR="00D05F47" w:rsidRPr="00621C4C">
        <w:rPr>
          <w:rFonts w:ascii="Times New Roman" w:hAnsi="Times New Roman"/>
          <w:b/>
          <w:bCs/>
          <w:i/>
          <w:iCs/>
        </w:rPr>
        <w:t>с особенностями в зависимости от способа учета прав на облигации</w:t>
      </w:r>
      <w:r w:rsidRPr="00621C4C">
        <w:rPr>
          <w:rFonts w:ascii="Times New Roman" w:hAnsi="Times New Roman"/>
          <w:b/>
          <w:bCs/>
          <w:i/>
          <w:iCs/>
        </w:rPr>
        <w:t>.</w:t>
      </w:r>
    </w:p>
    <w:p w14:paraId="3B446BCD"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4AE8797B"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53892DA3"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0A8AAC5"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71AC1843"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и/или предписывать осуществить блокировку средств.</w:t>
      </w:r>
    </w:p>
    <w:p w14:paraId="7AB27953" w14:textId="77777777" w:rsidR="002B6DAB" w:rsidRPr="00646B82" w:rsidRDefault="002B6DAB" w:rsidP="002B6DAB">
      <w:pPr>
        <w:autoSpaceDE w:val="0"/>
        <w:autoSpaceDN w:val="0"/>
        <w:adjustRightInd w:val="0"/>
        <w:spacing w:after="0" w:line="240" w:lineRule="auto"/>
        <w:jc w:val="both"/>
        <w:rPr>
          <w:rFonts w:ascii="Times New Roman" w:hAnsi="Times New Roman"/>
          <w:b/>
          <w:i/>
          <w:iCs/>
          <w:sz w:val="8"/>
          <w:szCs w:val="8"/>
          <w:lang w:eastAsia="ru-RU"/>
        </w:rPr>
      </w:pPr>
    </w:p>
    <w:p w14:paraId="04F116AA" w14:textId="55964715"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2FFF34D3"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6C9A5DEA" w14:textId="4846D769"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1) на конец операционного дня, предшествующего дате, которая определена в соответствии с </w:t>
      </w:r>
      <w:r w:rsidR="004B5A2A" w:rsidRPr="00646B82">
        <w:rPr>
          <w:rFonts w:ascii="Times New Roman" w:hAnsi="Times New Roman"/>
          <w:b/>
          <w:i/>
          <w:iCs/>
          <w:lang w:eastAsia="ru-RU"/>
        </w:rPr>
        <w:t>Решением о выпуске</w:t>
      </w:r>
      <w:r w:rsidRPr="00646B82">
        <w:rPr>
          <w:rFonts w:ascii="Times New Roman" w:hAnsi="Times New Roman"/>
          <w:b/>
          <w:i/>
          <w:iCs/>
          <w:lang w:eastAsia="ru-RU"/>
        </w:rPr>
        <w:t xml:space="preserve"> и на которую обязанность по осуществлению выплат по ценным бумагам подлежит исполнению; </w:t>
      </w:r>
    </w:p>
    <w:p w14:paraId="7911BCFC"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2A1B22AF" w14:textId="2F21CB01" w:rsidR="004B5A2A" w:rsidRPr="00646B82" w:rsidRDefault="002B6DAB" w:rsidP="004B5A2A">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lastRenderedPageBreak/>
        <w:t xml:space="preserve">2) </w:t>
      </w:r>
      <w:r w:rsidR="004B5A2A" w:rsidRPr="00646B82">
        <w:rPr>
          <w:rFonts w:ascii="Times New Roman" w:hAnsi="Times New Roman"/>
          <w:b/>
          <w:i/>
          <w:iCs/>
          <w:lang w:eastAsia="ru-RU"/>
        </w:rPr>
        <w:t>если 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 депозитарием, осуществляющим централизованный учет прав на Облигации, в соответствии с Законом о рынке ценных бумаг раскрыта информация о получении им подлежащих передаче выплат по Облигациям.</w:t>
      </w:r>
    </w:p>
    <w:p w14:paraId="6FFA4DDB"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7089C956"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70FDCEF7"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0EE700E8" w14:textId="3D6BA045" w:rsidR="004B5A2A" w:rsidRPr="00646B82" w:rsidRDefault="004B5A2A" w:rsidP="00621C4C">
      <w:pPr>
        <w:autoSpaceDE w:val="0"/>
        <w:autoSpaceDN w:val="0"/>
        <w:adjustRightInd w:val="0"/>
        <w:spacing w:after="0" w:line="240" w:lineRule="auto"/>
        <w:jc w:val="both"/>
        <w:rPr>
          <w:rFonts w:ascii="Times New Roman" w:hAnsi="Times New Roman"/>
          <w:b/>
          <w:i/>
          <w:iCs/>
          <w:sz w:val="8"/>
          <w:szCs w:val="8"/>
          <w:lang w:eastAsia="ru-RU"/>
        </w:rPr>
      </w:pPr>
      <w:r w:rsidRPr="00646B82">
        <w:rPr>
          <w:rFonts w:ascii="Times New Roman" w:hAnsi="Times New Roman"/>
          <w:b/>
          <w:i/>
          <w:iCs/>
          <w:lang w:eastAsia="ru-RU"/>
        </w:rPr>
        <w:t>П</w:t>
      </w:r>
      <w:r w:rsidR="002B6DAB" w:rsidRPr="00646B82">
        <w:rPr>
          <w:rFonts w:ascii="Times New Roman" w:hAnsi="Times New Roman"/>
          <w:b/>
          <w:i/>
          <w:iCs/>
          <w:lang w:eastAsia="ru-RU"/>
        </w:rPr>
        <w:t>огашение Облигаций производится в соответствии с порядком, установленным требованиями действующего Законодательства РФ.</w:t>
      </w:r>
    </w:p>
    <w:p w14:paraId="7784C1E9" w14:textId="3C86D8C5" w:rsidR="004B5A2A" w:rsidRPr="00646B82" w:rsidRDefault="001A1E17" w:rsidP="00621C4C">
      <w:pPr>
        <w:autoSpaceDE w:val="0"/>
        <w:autoSpaceDN w:val="0"/>
        <w:adjustRightInd w:val="0"/>
        <w:spacing w:after="0" w:line="240" w:lineRule="auto"/>
        <w:jc w:val="both"/>
        <w:rPr>
          <w:rFonts w:ascii="Times New Roman" w:hAnsi="Times New Roman"/>
          <w:b/>
          <w:bCs/>
          <w:i/>
          <w:iCs/>
          <w:sz w:val="8"/>
          <w:szCs w:val="8"/>
        </w:rPr>
      </w:pPr>
      <w:r w:rsidRPr="00646B82">
        <w:rPr>
          <w:rFonts w:ascii="Times New Roman" w:hAnsi="Times New Roman"/>
          <w:b/>
          <w:bCs/>
          <w:i/>
          <w:iCs/>
        </w:rPr>
        <w:t xml:space="preserve">Погашение Облигаций осуществляется в отношении всех </w:t>
      </w:r>
      <w:r w:rsidR="00FF5EE8" w:rsidRPr="00646B82">
        <w:rPr>
          <w:rFonts w:ascii="Times New Roman" w:hAnsi="Times New Roman"/>
          <w:b/>
          <w:bCs/>
          <w:i/>
          <w:iCs/>
        </w:rPr>
        <w:t>О</w:t>
      </w:r>
      <w:r w:rsidRPr="00646B82">
        <w:rPr>
          <w:rFonts w:ascii="Times New Roman" w:hAnsi="Times New Roman"/>
          <w:b/>
          <w:bCs/>
          <w:i/>
          <w:iCs/>
        </w:rPr>
        <w:t>блигаций выпуска по цене, равной 100% от номинальной стоимости Облигаций.</w:t>
      </w:r>
    </w:p>
    <w:p w14:paraId="70F3A869" w14:textId="5A87611C" w:rsidR="001A1E17" w:rsidRPr="00646B82" w:rsidRDefault="001A1E17" w:rsidP="00621C4C">
      <w:pPr>
        <w:autoSpaceDE w:val="0"/>
        <w:autoSpaceDN w:val="0"/>
        <w:adjustRightInd w:val="0"/>
        <w:spacing w:after="0" w:line="240" w:lineRule="auto"/>
        <w:jc w:val="both"/>
        <w:rPr>
          <w:rFonts w:ascii="Times New Roman" w:hAnsi="Times New Roman"/>
          <w:b/>
          <w:bCs/>
          <w:i/>
          <w:iCs/>
        </w:rPr>
      </w:pPr>
      <w:r w:rsidRPr="00646B82">
        <w:rPr>
          <w:rFonts w:ascii="Times New Roman" w:hAnsi="Times New Roman"/>
          <w:b/>
          <w:bCs/>
          <w:i/>
          <w:iCs/>
        </w:rPr>
        <w:t>Если до Даты погашения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 5.8.1. Решения о выпуске,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погашения.</w:t>
      </w:r>
    </w:p>
    <w:p w14:paraId="4E90BCC7" w14:textId="77777777" w:rsidR="001A1E17" w:rsidRPr="00646B82" w:rsidRDefault="001A1E17" w:rsidP="001679DE">
      <w:pPr>
        <w:autoSpaceDE w:val="0"/>
        <w:autoSpaceDN w:val="0"/>
        <w:adjustRightInd w:val="0"/>
        <w:spacing w:before="120" w:after="120" w:line="240" w:lineRule="auto"/>
        <w:jc w:val="both"/>
        <w:rPr>
          <w:rFonts w:ascii="Times New Roman" w:hAnsi="Times New Roman"/>
          <w:b/>
          <w:bCs/>
          <w:i/>
          <w:iCs/>
        </w:rPr>
      </w:pPr>
      <w:r w:rsidRPr="00646B82">
        <w:rPr>
          <w:rFonts w:ascii="Times New Roman" w:hAnsi="Times New Roman"/>
          <w:b/>
          <w:bCs/>
          <w:i/>
          <w:iCs/>
        </w:rPr>
        <w:t>Если Дата погашения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7186143A" w14:textId="77777777" w:rsidR="001A1E17" w:rsidRPr="00646B82" w:rsidRDefault="001A1E17" w:rsidP="001679DE">
      <w:pPr>
        <w:autoSpaceDE w:val="0"/>
        <w:autoSpaceDN w:val="0"/>
        <w:adjustRightInd w:val="0"/>
        <w:spacing w:before="120" w:after="120" w:line="240" w:lineRule="auto"/>
        <w:jc w:val="both"/>
        <w:rPr>
          <w:rFonts w:ascii="Times New Roman" w:hAnsi="Times New Roman"/>
          <w:b/>
          <w:bCs/>
          <w:i/>
          <w:iCs/>
        </w:rPr>
      </w:pPr>
      <w:r w:rsidRPr="00646B82">
        <w:rPr>
          <w:rFonts w:ascii="Times New Roman" w:hAnsi="Times New Roman"/>
          <w:b/>
          <w:bCs/>
          <w:i/>
          <w:iCs/>
        </w:rPr>
        <w:t xml:space="preserve">Списание Облигаций со счетов депо производится: </w:t>
      </w:r>
    </w:p>
    <w:p w14:paraId="3FC2E217" w14:textId="7742EBF2" w:rsidR="001A1E17" w:rsidRPr="00646B82" w:rsidRDefault="001A1E17" w:rsidP="001A1E17">
      <w:pPr>
        <w:autoSpaceDE w:val="0"/>
        <w:autoSpaceDN w:val="0"/>
        <w:adjustRightInd w:val="0"/>
        <w:spacing w:before="120" w:after="120" w:line="240" w:lineRule="auto"/>
        <w:ind w:firstLine="540"/>
        <w:jc w:val="both"/>
        <w:rPr>
          <w:rFonts w:ascii="Times New Roman" w:hAnsi="Times New Roman"/>
          <w:b/>
          <w:bCs/>
          <w:i/>
          <w:iCs/>
        </w:rPr>
      </w:pPr>
      <w:r w:rsidRPr="00646B82">
        <w:rPr>
          <w:rFonts w:ascii="Times New Roman" w:hAnsi="Times New Roman"/>
          <w:b/>
          <w:bCs/>
          <w:i/>
          <w:iCs/>
        </w:rPr>
        <w:t xml:space="preserve">– при погашении Облигаций после исполнения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19BF190" w14:textId="1FC57889" w:rsidR="00366D69" w:rsidRDefault="001A1E17" w:rsidP="001A1E17">
      <w:pPr>
        <w:autoSpaceDE w:val="0"/>
        <w:autoSpaceDN w:val="0"/>
        <w:adjustRightInd w:val="0"/>
        <w:spacing w:before="120" w:after="120" w:line="240" w:lineRule="auto"/>
        <w:ind w:firstLine="540"/>
        <w:jc w:val="both"/>
        <w:rPr>
          <w:rFonts w:ascii="Times New Roman" w:hAnsi="Times New Roman"/>
          <w:b/>
          <w:bCs/>
          <w:i/>
          <w:iCs/>
          <w:sz w:val="24"/>
          <w:szCs w:val="24"/>
        </w:rPr>
      </w:pPr>
      <w:r w:rsidRPr="00646B82">
        <w:rPr>
          <w:rFonts w:ascii="Times New Roman" w:hAnsi="Times New Roman"/>
          <w:b/>
          <w:bCs/>
          <w:i/>
          <w:iCs/>
        </w:rPr>
        <w:t>– в случае полного прекращения обязательств Эмитента перед владельцами Облигаций в Дату прекращения обязательств после наступления любого из Событий прекращения обязательств, указанных в п. 5.8.1. Решения о выпуске</w:t>
      </w:r>
      <w:r w:rsidR="00FF5EE8" w:rsidRPr="00646B82">
        <w:rPr>
          <w:rFonts w:ascii="Times New Roman" w:hAnsi="Times New Roman"/>
          <w:b/>
          <w:bCs/>
          <w:i/>
          <w:iCs/>
          <w:sz w:val="24"/>
          <w:szCs w:val="24"/>
        </w:rPr>
        <w:t>.</w:t>
      </w:r>
    </w:p>
    <w:p w14:paraId="6EC8DE0E" w14:textId="31514D4B" w:rsidR="00A56A7E" w:rsidRPr="00F95F16" w:rsidRDefault="00A56A7E" w:rsidP="00A56A7E">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митентом, не могут быт</w:t>
      </w:r>
      <w:r>
        <w:rPr>
          <w:rFonts w:ascii="Times New Roman" w:hAnsi="Times New Roman"/>
          <w:b/>
          <w:i/>
          <w:iCs/>
          <w:lang w:eastAsia="ru-RU"/>
        </w:rPr>
        <w:t>ь вновь выпущены в обращение.</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290AFE81"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блигациям является сумма купонных доходов, начисляемых за каждый купонный период 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265F5E" w:rsidRPr="00A70C67">
        <w:rPr>
          <w:rFonts w:ascii="Times New Roman" w:hAnsi="Times New Roman"/>
          <w:b/>
          <w:i/>
          <w:iCs/>
          <w:lang w:eastAsia="ru-RU"/>
        </w:rPr>
        <w:t>.</w:t>
      </w:r>
    </w:p>
    <w:p w14:paraId="0979035F" w14:textId="2AA64C81" w:rsidR="00B97F78" w:rsidRPr="00376521" w:rsidRDefault="00B97F7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 xml:space="preserve">Количество купонных периодов: </w:t>
      </w:r>
      <w:r w:rsidR="000C3B77" w:rsidRPr="00376521">
        <w:rPr>
          <w:rFonts w:ascii="Times New Roman" w:hAnsi="Times New Roman"/>
          <w:b/>
          <w:bCs/>
          <w:i/>
          <w:iCs/>
        </w:rPr>
        <w:t>2</w:t>
      </w:r>
      <w:r w:rsidR="00E31AA4" w:rsidRPr="00376521">
        <w:rPr>
          <w:rFonts w:ascii="Times New Roman" w:hAnsi="Times New Roman"/>
          <w:b/>
          <w:bCs/>
          <w:i/>
          <w:iCs/>
        </w:rPr>
        <w:t>1 (Двадцать один)</w:t>
      </w:r>
      <w:r w:rsidRPr="00376521">
        <w:rPr>
          <w:rFonts w:ascii="Times New Roman" w:hAnsi="Times New Roman"/>
          <w:b/>
          <w:bCs/>
          <w:i/>
          <w:iCs/>
        </w:rPr>
        <w:t>.</w:t>
      </w:r>
    </w:p>
    <w:p w14:paraId="02831591" w14:textId="48465D4B" w:rsidR="00B97F78" w:rsidRPr="00376521" w:rsidRDefault="00B97F7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 xml:space="preserve">Длительность каждого из купонных периодов: </w:t>
      </w:r>
      <w:r w:rsidR="00C4376E" w:rsidRPr="00376521">
        <w:rPr>
          <w:rFonts w:ascii="Times New Roman" w:hAnsi="Times New Roman"/>
          <w:b/>
          <w:bCs/>
          <w:i/>
          <w:iCs/>
        </w:rPr>
        <w:t>182</w:t>
      </w:r>
      <w:r w:rsidRPr="00376521">
        <w:rPr>
          <w:rFonts w:ascii="Times New Roman" w:hAnsi="Times New Roman"/>
          <w:b/>
          <w:bCs/>
          <w:i/>
          <w:iCs/>
        </w:rPr>
        <w:t xml:space="preserve"> (</w:t>
      </w:r>
      <w:r w:rsidR="00C4376E" w:rsidRPr="00376521">
        <w:rPr>
          <w:rFonts w:ascii="Times New Roman" w:hAnsi="Times New Roman"/>
          <w:b/>
          <w:bCs/>
          <w:i/>
          <w:iCs/>
        </w:rPr>
        <w:t>Сто восемьдесят два</w:t>
      </w:r>
      <w:r w:rsidRPr="00376521">
        <w:rPr>
          <w:rFonts w:ascii="Times New Roman" w:hAnsi="Times New Roman"/>
          <w:b/>
          <w:bCs/>
          <w:i/>
          <w:iCs/>
        </w:rPr>
        <w:t xml:space="preserve">) </w:t>
      </w:r>
      <w:r w:rsidR="00C4376E" w:rsidRPr="00376521">
        <w:rPr>
          <w:rFonts w:ascii="Times New Roman" w:hAnsi="Times New Roman"/>
          <w:b/>
          <w:bCs/>
          <w:i/>
          <w:iCs/>
        </w:rPr>
        <w:t>дня</w:t>
      </w:r>
      <w:r w:rsidRPr="00376521">
        <w:rPr>
          <w:rFonts w:ascii="Times New Roman" w:hAnsi="Times New Roman"/>
          <w:b/>
          <w:bCs/>
          <w:i/>
          <w:iCs/>
        </w:rPr>
        <w:t>.</w:t>
      </w:r>
    </w:p>
    <w:p w14:paraId="79DF176B"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Продолжительность купонных периодов:</w:t>
      </w:r>
    </w:p>
    <w:p w14:paraId="68F43AF1"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облигаций.</w:t>
      </w:r>
    </w:p>
    <w:p w14:paraId="7C861EBE"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второго купонного периода – 364-й день с даты начала размещения облигаций.</w:t>
      </w:r>
    </w:p>
    <w:p w14:paraId="40564E24"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третьего купонного периода – 546-й день с даты начала размещения облигаций.</w:t>
      </w:r>
    </w:p>
    <w:p w14:paraId="4A00A34E"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четвертого купонного периода – 728-й день с даты начала размещения облигаций.</w:t>
      </w:r>
    </w:p>
    <w:p w14:paraId="1585B437"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пятого купонного периода – 910-й день с даты начала размещения облигаций.</w:t>
      </w:r>
    </w:p>
    <w:p w14:paraId="455F636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шестого купонного периода – 1092-й день с даты начала размещения облигаций.</w:t>
      </w:r>
    </w:p>
    <w:p w14:paraId="7774E31E"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седьмого купонного периода – 1274-й день с даты начала размещения облигаций.</w:t>
      </w:r>
    </w:p>
    <w:p w14:paraId="5A39F666"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восьмого купонного периода – 1456-й день с даты начала размещения облигаций.</w:t>
      </w:r>
    </w:p>
    <w:p w14:paraId="7CAE94AC"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девятого купонного периода – 1638-й день с даты начала размещения облигаций.</w:t>
      </w:r>
    </w:p>
    <w:p w14:paraId="508A80B8"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lastRenderedPageBreak/>
        <w:t>Дата окончания десятого купонного периода – 1820-й день с даты начала размещения облигаций.</w:t>
      </w:r>
    </w:p>
    <w:p w14:paraId="6C7904F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одиннадцатого купонного периода – 2002-й день с даты начала размещения облигаций.</w:t>
      </w:r>
    </w:p>
    <w:p w14:paraId="79C01D57"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двенадцатого купонного периода – 2184-й день с даты начала размещения облигаций.</w:t>
      </w:r>
    </w:p>
    <w:p w14:paraId="5A329A00"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тринадцатого купонного периода – 2366-й день с даты начала размещения облигаций.</w:t>
      </w:r>
    </w:p>
    <w:p w14:paraId="624AD487"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четырнадцатого купонного периода – 2548-й день с даты начала размещения облигаций.</w:t>
      </w:r>
    </w:p>
    <w:p w14:paraId="6BC839C6"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пятнадцатого купонного периода – 2730-й день с даты начала размещения облигаций.</w:t>
      </w:r>
    </w:p>
    <w:p w14:paraId="7B5D4EFF"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шестнадцатого купонного периода – 2912-й день с даты начала размещения облигаций.</w:t>
      </w:r>
    </w:p>
    <w:p w14:paraId="45AC866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семнадцатого купонного периода – 3094-й день с даты начала размещения облигаций.</w:t>
      </w:r>
    </w:p>
    <w:p w14:paraId="06ACB0FA"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восемнадцатого купонного периода – 3276-й день с даты начала размещения облигаций.</w:t>
      </w:r>
    </w:p>
    <w:p w14:paraId="2A0E29F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девятнадцатого купонного периода – 3458-й день с даты начала размещения облигаций.</w:t>
      </w:r>
    </w:p>
    <w:p w14:paraId="7C6C6C40"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двадцатого купонного периода – 3640-й день с даты начала размещения облигаций.</w:t>
      </w:r>
    </w:p>
    <w:p w14:paraId="30E78942" w14:textId="1AF0999D"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двадцать первого купонного периода – 3822-й день с даты начала размещения облигаций.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64B4CA45"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российских рублях; </w:t>
      </w:r>
    </w:p>
    <w:p w14:paraId="75FC4F3F" w14:textId="75D3A60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j – порядковый номер купонного периода, (j=1, 2</w:t>
      </w:r>
      <w:r w:rsidR="00E31AA4" w:rsidRPr="00376521">
        <w:rPr>
          <w:rFonts w:ascii="Times New Roman" w:hAnsi="Times New Roman"/>
          <w:b/>
          <w:bCs/>
          <w:i/>
          <w:iCs/>
        </w:rPr>
        <w:t>, …, 21</w:t>
      </w:r>
      <w:r w:rsidRPr="00376521">
        <w:rPr>
          <w:rFonts w:ascii="Times New Roman" w:hAnsi="Times New Roman"/>
          <w:b/>
          <w:bCs/>
          <w:i/>
          <w:iCs/>
        </w:rPr>
        <w:t xml:space="preserve">); </w:t>
      </w:r>
    </w:p>
    <w:p w14:paraId="6B791E64" w14:textId="25D273BB"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5A5FB9" w:rsidRPr="005A5FB9">
        <w:rPr>
          <w:rFonts w:ascii="Times New Roman" w:hAnsi="Times New Roman"/>
          <w:b/>
          <w:bCs/>
          <w:i/>
          <w:iCs/>
        </w:rPr>
        <w:t>окончания j-го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российских рублях;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15AE90BF"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5A5FB9" w:rsidRPr="005A5FB9">
        <w:rPr>
          <w:rFonts w:ascii="Times New Roman" w:hAnsi="Times New Roman"/>
          <w:b/>
          <w:bCs/>
          <w:i/>
          <w:iCs/>
        </w:rPr>
        <w:t xml:space="preserve">окончания (j-1) </w:t>
      </w:r>
      <w:r w:rsidRPr="00376521">
        <w:rPr>
          <w:rFonts w:ascii="Times New Roman" w:hAnsi="Times New Roman"/>
          <w:b/>
          <w:bCs/>
          <w:i/>
          <w:iCs/>
        </w:rPr>
        <w:t>купонного периода</w:t>
      </w:r>
      <w:r w:rsidR="005A5FB9" w:rsidRPr="00E71ACF">
        <w:rPr>
          <w:rFonts w:ascii="Times New Roman" w:hAnsi="Times New Roman"/>
          <w:b/>
          <w:bCs/>
          <w:i/>
          <w:iCs/>
        </w:rPr>
        <w:t xml:space="preserve"> </w:t>
      </w:r>
      <w:r w:rsidR="005A5FB9" w:rsidRPr="005A5FB9">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1102E81C" w14:textId="77777777" w:rsidR="005A5FB9" w:rsidRDefault="005A5FB9" w:rsidP="00A56A7E">
      <w:pPr>
        <w:autoSpaceDE w:val="0"/>
        <w:autoSpaceDN w:val="0"/>
        <w:adjustRightInd w:val="0"/>
        <w:spacing w:before="120" w:after="120" w:line="240" w:lineRule="auto"/>
        <w:jc w:val="both"/>
        <w:rPr>
          <w:rFonts w:ascii="Times New Roman" w:hAnsi="Times New Roman"/>
          <w:b/>
          <w:bCs/>
          <w:i/>
          <w:iCs/>
        </w:rPr>
      </w:pPr>
      <w:r w:rsidRPr="005A5FB9">
        <w:rPr>
          <w:rFonts w:ascii="Times New Roman" w:hAnsi="Times New Roman"/>
          <w:b/>
          <w:bCs/>
          <w:i/>
          <w:iCs/>
        </w:rPr>
        <w:t>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20F857F4" w:rsidR="00540F39" w:rsidRPr="00376521" w:rsidRDefault="005A5FB9" w:rsidP="00A56A7E">
      <w:pPr>
        <w:autoSpaceDE w:val="0"/>
        <w:autoSpaceDN w:val="0"/>
        <w:adjustRightInd w:val="0"/>
        <w:spacing w:before="120" w:after="120" w:line="240" w:lineRule="auto"/>
        <w:jc w:val="both"/>
        <w:rPr>
          <w:rFonts w:ascii="Times New Roman" w:hAnsi="Times New Roman"/>
          <w:b/>
          <w:bCs/>
          <w:i/>
          <w:iCs/>
        </w:rPr>
      </w:pPr>
      <w:r w:rsidRPr="005A5FB9">
        <w:rPr>
          <w:rFonts w:ascii="Times New Roman" w:hAnsi="Times New Roman"/>
          <w:b/>
          <w:bCs/>
          <w:i/>
          <w:iCs/>
        </w:rPr>
        <w:lastRenderedPageBreak/>
        <w:t xml:space="preserve">Единоличный исполнительный орган Эмитента или </w:t>
      </w:r>
      <w:r>
        <w:rPr>
          <w:rFonts w:ascii="Times New Roman" w:hAnsi="Times New Roman"/>
          <w:b/>
          <w:bCs/>
          <w:i/>
          <w:iCs/>
        </w:rPr>
        <w:t>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4210BFEB"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российских рублях,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российских рублях,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в состав источников дополнительного капитала кредитной организации.</w:t>
      </w:r>
    </w:p>
    <w:p w14:paraId="3CB88D88" w14:textId="72385A47" w:rsidR="00490232"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купонным периодам со второго по </w:t>
      </w:r>
      <w:r w:rsidR="00C774A6" w:rsidRPr="00C774A6">
        <w:rPr>
          <w:rFonts w:ascii="Times New Roman" w:hAnsi="Times New Roman"/>
          <w:b/>
          <w:bCs/>
          <w:i/>
          <w:iCs/>
        </w:rPr>
        <w:t>двадцать первый</w:t>
      </w:r>
      <w:r w:rsidR="00C774A6">
        <w:rPr>
          <w:rFonts w:ascii="Times New Roman" w:hAnsi="Times New Roman"/>
          <w:b/>
          <w:bCs/>
          <w:i/>
          <w:iCs/>
        </w:rPr>
        <w:t xml:space="preserve"> (включительно)</w:t>
      </w:r>
      <w:r w:rsidR="00C774A6" w:rsidRPr="00C774A6">
        <w:rPr>
          <w:rFonts w:ascii="Times New Roman" w:hAnsi="Times New Roman"/>
          <w:b/>
          <w:bCs/>
          <w:i/>
          <w:iCs/>
        </w:rPr>
        <w:t xml:space="preserve"> </w:t>
      </w:r>
      <w:r w:rsidR="00490232"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55D6F77F" w14:textId="77777777" w:rsidR="005A5FB9" w:rsidRPr="005A5FB9" w:rsidRDefault="005A5FB9" w:rsidP="005A5FB9">
      <w:pPr>
        <w:autoSpaceDE w:val="0"/>
        <w:autoSpaceDN w:val="0"/>
        <w:adjustRightInd w:val="0"/>
        <w:spacing w:before="120" w:after="120" w:line="240" w:lineRule="auto"/>
        <w:jc w:val="both"/>
        <w:rPr>
          <w:rFonts w:ascii="Times New Roman" w:hAnsi="Times New Roman"/>
          <w:b/>
          <w:bCs/>
          <w:i/>
          <w:iCs/>
        </w:rPr>
      </w:pPr>
      <w:r w:rsidRPr="005A5FB9">
        <w:rPr>
          <w:rFonts w:ascii="Times New Roman" w:hAnsi="Times New Roman"/>
          <w:b/>
          <w:bCs/>
          <w:i/>
          <w:iCs/>
        </w:rPr>
        <w:t>Сj – размер процентной ставки j-го купона, в процентах годовых;</w:t>
      </w:r>
    </w:p>
    <w:p w14:paraId="610A89C0" w14:textId="2ECD0579" w:rsidR="00490232" w:rsidRPr="00376521" w:rsidRDefault="005A5FB9" w:rsidP="005A5FB9">
      <w:pPr>
        <w:autoSpaceDE w:val="0"/>
        <w:autoSpaceDN w:val="0"/>
        <w:adjustRightInd w:val="0"/>
        <w:spacing w:before="120" w:after="120" w:line="240" w:lineRule="auto"/>
        <w:jc w:val="both"/>
        <w:rPr>
          <w:rFonts w:ascii="Times New Roman" w:hAnsi="Times New Roman"/>
          <w:b/>
          <w:bCs/>
          <w:i/>
          <w:iCs/>
        </w:rPr>
      </w:pPr>
      <w:r w:rsidRPr="005A5FB9">
        <w:rPr>
          <w:rFonts w:ascii="Times New Roman" w:hAnsi="Times New Roman"/>
          <w:b/>
          <w:bCs/>
          <w:i/>
          <w:iCs/>
        </w:rPr>
        <w:t xml:space="preserve">j – порядковый номер очередного купонного периода (j = </w:t>
      </w:r>
      <w:r>
        <w:rPr>
          <w:rFonts w:ascii="Times New Roman" w:hAnsi="Times New Roman"/>
          <w:b/>
          <w:bCs/>
          <w:i/>
          <w:iCs/>
        </w:rPr>
        <w:t>2</w:t>
      </w:r>
      <w:r w:rsidRPr="005A5FB9">
        <w:rPr>
          <w:rFonts w:ascii="Times New Roman" w:hAnsi="Times New Roman"/>
          <w:b/>
          <w:bCs/>
          <w:i/>
          <w:iCs/>
        </w:rPr>
        <w:t xml:space="preserve">, </w:t>
      </w:r>
      <w:r w:rsidR="00E71ACF" w:rsidRPr="00E71ACF">
        <w:rPr>
          <w:rFonts w:ascii="Times New Roman" w:hAnsi="Times New Roman"/>
          <w:b/>
          <w:bCs/>
          <w:i/>
          <w:iCs/>
        </w:rPr>
        <w:t xml:space="preserve">3, </w:t>
      </w:r>
      <w:r w:rsidRPr="005A5FB9">
        <w:rPr>
          <w:rFonts w:ascii="Times New Roman" w:hAnsi="Times New Roman"/>
          <w:b/>
          <w:bCs/>
          <w:i/>
          <w:iCs/>
        </w:rPr>
        <w:t>…, 21);</w:t>
      </w:r>
    </w:p>
    <w:p w14:paraId="3EB8467A" w14:textId="1CBAFBCF" w:rsidR="00490232" w:rsidRPr="00C774A6"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C774A6" w:rsidRPr="00C774A6">
        <w:rPr>
          <w:rFonts w:ascii="Times New Roman" w:hAnsi="Times New Roman"/>
          <w:b/>
          <w:bCs/>
          <w:i/>
          <w:iCs/>
        </w:rPr>
        <w:t>Ключевая ставка Банка России, действующая по</w:t>
      </w:r>
      <w:r w:rsidR="00C774A6">
        <w:rPr>
          <w:rFonts w:ascii="Times New Roman" w:hAnsi="Times New Roman"/>
          <w:b/>
          <w:bCs/>
          <w:i/>
          <w:iCs/>
        </w:rPr>
        <w:t xml:space="preserve"> состоянию на </w:t>
      </w:r>
      <w:r w:rsidR="00C774A6" w:rsidRPr="00E71ACF">
        <w:rPr>
          <w:rFonts w:ascii="Times New Roman" w:hAnsi="Times New Roman"/>
          <w:b/>
          <w:bCs/>
          <w:i/>
          <w:iCs/>
        </w:rPr>
        <w:t>5-й (пятый)</w:t>
      </w:r>
      <w:r w:rsidR="00C774A6">
        <w:rPr>
          <w:rFonts w:ascii="Times New Roman" w:hAnsi="Times New Roman"/>
          <w:b/>
          <w:bCs/>
          <w:i/>
          <w:iCs/>
        </w:rPr>
        <w:t xml:space="preserve"> день,</w:t>
      </w:r>
      <w:r w:rsidR="00C774A6" w:rsidRPr="00C774A6">
        <w:rPr>
          <w:rFonts w:ascii="Times New Roman" w:hAnsi="Times New Roman"/>
          <w:b/>
          <w:bCs/>
          <w:i/>
          <w:iCs/>
        </w:rPr>
        <w:t xml:space="preserve"> предшествующий дате начала </w:t>
      </w:r>
      <w:r w:rsidR="00C774A6" w:rsidRPr="00C774A6">
        <w:rPr>
          <w:rFonts w:ascii="Times New Roman" w:hAnsi="Times New Roman"/>
          <w:b/>
          <w:bCs/>
          <w:i/>
          <w:iCs/>
          <w:lang w:val="en-US"/>
        </w:rPr>
        <w:t>j</w:t>
      </w:r>
      <w:r w:rsidR="00C774A6" w:rsidRPr="00C774A6">
        <w:rPr>
          <w:rFonts w:ascii="Times New Roman" w:hAnsi="Times New Roman"/>
          <w:b/>
          <w:bCs/>
          <w:i/>
          <w:iCs/>
        </w:rPr>
        <w:t>-го купонного периода.</w:t>
      </w:r>
      <w:r w:rsidR="00C774A6">
        <w:rPr>
          <w:rFonts w:ascii="Times New Roman" w:hAnsi="Times New Roman"/>
          <w:b/>
          <w:bCs/>
          <w:i/>
          <w:iCs/>
        </w:rPr>
        <w:t xml:space="preserve"> В случае если на дату расчета</w:t>
      </w:r>
      <w:r w:rsidR="00C774A6" w:rsidRPr="00C774A6">
        <w:rPr>
          <w:rFonts w:ascii="Times New Roman" w:hAnsi="Times New Roman"/>
          <w:b/>
          <w:bCs/>
          <w:i/>
          <w:iCs/>
        </w:rPr>
        <w:t xml:space="preserve"> процентной ставки </w:t>
      </w:r>
      <w:r w:rsidR="00C774A6" w:rsidRPr="00C774A6">
        <w:rPr>
          <w:rFonts w:ascii="Times New Roman" w:hAnsi="Times New Roman"/>
          <w:b/>
          <w:bCs/>
          <w:i/>
          <w:iCs/>
          <w:lang w:val="en-US"/>
        </w:rPr>
        <w:t>j</w:t>
      </w:r>
      <w:r w:rsidR="00C774A6">
        <w:rPr>
          <w:rFonts w:ascii="Times New Roman" w:hAnsi="Times New Roman"/>
          <w:b/>
          <w:bCs/>
          <w:i/>
          <w:iCs/>
        </w:rPr>
        <w:t>-го купон</w:t>
      </w:r>
      <w:r w:rsidR="00C774A6" w:rsidRPr="00C774A6">
        <w:rPr>
          <w:rFonts w:ascii="Times New Roman" w:hAnsi="Times New Roman"/>
          <w:b/>
          <w:bCs/>
          <w:i/>
          <w:iCs/>
        </w:rPr>
        <w:t>а Ключевая ставка Банка Ро</w:t>
      </w:r>
      <w:r w:rsidR="00C774A6">
        <w:rPr>
          <w:rFonts w:ascii="Times New Roman" w:hAnsi="Times New Roman"/>
          <w:b/>
          <w:bCs/>
          <w:i/>
          <w:iCs/>
        </w:rPr>
        <w:t>ссии не будет действовать, то в</w:t>
      </w:r>
      <w:r w:rsidR="00C774A6" w:rsidRPr="00C774A6">
        <w:rPr>
          <w:rFonts w:ascii="Times New Roman" w:hAnsi="Times New Roman"/>
          <w:b/>
          <w:bCs/>
          <w:i/>
          <w:iCs/>
        </w:rPr>
        <w:t xml:space="preserve"> качестве величины </w:t>
      </w:r>
      <w:r w:rsidR="00C774A6" w:rsidRPr="00C774A6">
        <w:rPr>
          <w:rFonts w:ascii="Times New Roman" w:hAnsi="Times New Roman"/>
          <w:b/>
          <w:bCs/>
          <w:i/>
          <w:iCs/>
          <w:lang w:val="en-US"/>
        </w:rPr>
        <w:t>R</w:t>
      </w:r>
      <w:r w:rsidR="00C774A6" w:rsidRPr="00C774A6">
        <w:rPr>
          <w:rFonts w:ascii="Times New Roman" w:hAnsi="Times New Roman"/>
          <w:b/>
          <w:bCs/>
          <w:i/>
          <w:iCs/>
        </w:rPr>
        <w:t xml:space="preserve"> принимается иная аналогична</w:t>
      </w:r>
      <w:r w:rsidR="00C774A6">
        <w:rPr>
          <w:rFonts w:ascii="Times New Roman" w:hAnsi="Times New Roman"/>
          <w:b/>
          <w:bCs/>
          <w:i/>
          <w:iCs/>
        </w:rPr>
        <w:t>я процентная ставка по основным</w:t>
      </w:r>
      <w:r w:rsidR="00C774A6" w:rsidRPr="00C774A6">
        <w:rPr>
          <w:rFonts w:ascii="Times New Roman" w:hAnsi="Times New Roman"/>
          <w:b/>
          <w:bCs/>
          <w:i/>
          <w:iCs/>
        </w:rPr>
        <w:t xml:space="preserve"> операциям Банка России по регулированию ликвидности банковского сектора.</w:t>
      </w:r>
    </w:p>
    <w:p w14:paraId="3E749A0D" w14:textId="77308DC0" w:rsidR="00490232" w:rsidRPr="00376521" w:rsidRDefault="00490232" w:rsidP="00C774A6">
      <w:pPr>
        <w:autoSpaceDE w:val="0"/>
        <w:autoSpaceDN w:val="0"/>
        <w:adjustRightInd w:val="0"/>
        <w:spacing w:before="120" w:after="120" w:line="240" w:lineRule="auto"/>
        <w:jc w:val="both"/>
        <w:rPr>
          <w:rFonts w:ascii="Times New Roman" w:hAnsi="Times New Roman"/>
          <w:b/>
          <w:bCs/>
          <w:i/>
          <w:iCs/>
        </w:rPr>
      </w:pPr>
      <w:r w:rsidRPr="00E71ACF">
        <w:rPr>
          <w:rFonts w:ascii="Times New Roman" w:hAnsi="Times New Roman"/>
          <w:b/>
          <w:bCs/>
          <w:i/>
          <w:iCs/>
        </w:rPr>
        <w:t xml:space="preserve">s – разница между </w:t>
      </w:r>
      <w:r w:rsidR="000B71CB" w:rsidRPr="00E71ACF">
        <w:rPr>
          <w:rFonts w:ascii="Times New Roman" w:hAnsi="Times New Roman"/>
          <w:b/>
          <w:bCs/>
          <w:i/>
          <w:iCs/>
        </w:rPr>
        <w:t xml:space="preserve">процентной </w:t>
      </w:r>
      <w:r w:rsidRPr="00E71ACF">
        <w:rPr>
          <w:rFonts w:ascii="Times New Roman" w:hAnsi="Times New Roman"/>
          <w:b/>
          <w:bCs/>
          <w:i/>
          <w:iCs/>
        </w:rPr>
        <w:t xml:space="preserve">ставкой по первому купону и </w:t>
      </w:r>
      <w:r w:rsidR="00C774A6" w:rsidRPr="00E71ACF">
        <w:rPr>
          <w:rFonts w:ascii="Times New Roman" w:hAnsi="Times New Roman"/>
          <w:b/>
          <w:bCs/>
          <w:i/>
          <w:iCs/>
        </w:rPr>
        <w:t xml:space="preserve">Ключевой ставкой Банка России, действующей на дату установления размера </w:t>
      </w:r>
      <w:r w:rsidR="000B71CB" w:rsidRPr="00E71ACF">
        <w:rPr>
          <w:rFonts w:ascii="Times New Roman" w:hAnsi="Times New Roman"/>
          <w:b/>
          <w:bCs/>
          <w:i/>
          <w:iCs/>
        </w:rPr>
        <w:t xml:space="preserve">процентной </w:t>
      </w:r>
      <w:r w:rsidR="00C774A6" w:rsidRPr="00E71ACF">
        <w:rPr>
          <w:rFonts w:ascii="Times New Roman" w:hAnsi="Times New Roman"/>
          <w:b/>
          <w:bCs/>
          <w:i/>
          <w:iCs/>
        </w:rPr>
        <w:t xml:space="preserve">ставки по </w:t>
      </w:r>
      <w:r w:rsidR="000B71CB" w:rsidRPr="00E71ACF">
        <w:rPr>
          <w:rFonts w:ascii="Times New Roman" w:hAnsi="Times New Roman"/>
          <w:b/>
          <w:bCs/>
          <w:i/>
          <w:iCs/>
        </w:rPr>
        <w:t>первому</w:t>
      </w:r>
      <w:r w:rsidR="00C774A6" w:rsidRPr="00E71ACF">
        <w:rPr>
          <w:rFonts w:ascii="Times New Roman" w:hAnsi="Times New Roman"/>
          <w:b/>
          <w:bCs/>
          <w:i/>
          <w:iCs/>
        </w:rPr>
        <w:t xml:space="preserve"> купону</w:t>
      </w:r>
      <w:r w:rsidRPr="00E71ACF">
        <w:rPr>
          <w:rFonts w:ascii="Times New Roman" w:hAnsi="Times New Roman"/>
          <w:b/>
          <w:bCs/>
          <w:i/>
          <w:iCs/>
        </w:rPr>
        <w:t>.</w:t>
      </w:r>
    </w:p>
    <w:p w14:paraId="252CED59" w14:textId="59F29810"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C774A6">
        <w:rPr>
          <w:rFonts w:ascii="Times New Roman" w:hAnsi="Times New Roman"/>
          <w:b/>
          <w:bCs/>
          <w:i/>
          <w:iCs/>
        </w:rPr>
        <w:t>по купонным периодам с</w:t>
      </w:r>
      <w:r w:rsidRPr="00064C34">
        <w:rPr>
          <w:rFonts w:ascii="Times New Roman" w:hAnsi="Times New Roman"/>
          <w:b/>
          <w:bCs/>
          <w:i/>
          <w:iCs/>
        </w:rPr>
        <w:t>о</w:t>
      </w:r>
      <w:r w:rsidR="00C774A6" w:rsidRPr="00C774A6">
        <w:rPr>
          <w:rFonts w:ascii="Times New Roman" w:hAnsi="Times New Roman"/>
          <w:b/>
          <w:bCs/>
          <w:i/>
          <w:iCs/>
        </w:rPr>
        <w:t xml:space="preserve"> второго</w:t>
      </w:r>
      <w:r w:rsidRPr="00064C34">
        <w:rPr>
          <w:rFonts w:ascii="Times New Roman" w:hAnsi="Times New Roman"/>
          <w:b/>
          <w:bCs/>
          <w:i/>
          <w:iCs/>
        </w:rPr>
        <w:t xml:space="preserve"> по двадцать первый (включительно) </w:t>
      </w:r>
      <w:r w:rsidRPr="00C3715E">
        <w:rPr>
          <w:rFonts w:ascii="Times New Roman" w:hAnsi="Times New Roman"/>
          <w:b/>
          <w:bCs/>
          <w:i/>
          <w:iCs/>
        </w:rPr>
        <w:t>не может превышать предельную величину процентной ставки по субординированному обязательству в российских рублях, установленную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дополнительного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новой ставки купона</w:t>
      </w:r>
      <w:r>
        <w:rPr>
          <w:rFonts w:ascii="Times New Roman" w:hAnsi="Times New Roman"/>
          <w:b/>
          <w:bCs/>
          <w:i/>
          <w:iCs/>
        </w:rPr>
        <w:t>.</w:t>
      </w:r>
    </w:p>
    <w:p w14:paraId="10386F2B" w14:textId="1EFEF548"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В случае превышения размера процентной ставки по купонным периодам с</w:t>
      </w:r>
      <w:r w:rsidR="00C774A6" w:rsidRPr="00C774A6">
        <w:rPr>
          <w:rFonts w:ascii="Times New Roman" w:hAnsi="Times New Roman"/>
          <w:b/>
          <w:bCs/>
          <w:i/>
          <w:iCs/>
        </w:rPr>
        <w:t>о второго</w:t>
      </w:r>
      <w:r w:rsidRPr="00376521">
        <w:rPr>
          <w:rFonts w:ascii="Times New Roman" w:hAnsi="Times New Roman"/>
          <w:b/>
          <w:bCs/>
          <w:i/>
          <w:iCs/>
        </w:rPr>
        <w:t xml:space="preserve"> по двадцать первый (включительно) 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дополнительного капитала, на Дату определения новой ставки купона действует процентная ставка по купонным периодам с</w:t>
      </w:r>
      <w:r w:rsidR="00970C06" w:rsidRPr="00970C06">
        <w:rPr>
          <w:rFonts w:ascii="Times New Roman" w:hAnsi="Times New Roman"/>
          <w:b/>
          <w:bCs/>
          <w:i/>
          <w:iCs/>
        </w:rPr>
        <w:t>о второго</w:t>
      </w:r>
      <w:r w:rsidRPr="00376521">
        <w:rPr>
          <w:rFonts w:ascii="Times New Roman" w:hAnsi="Times New Roman"/>
          <w:b/>
          <w:bCs/>
          <w:i/>
          <w:iCs/>
        </w:rPr>
        <w:t xml:space="preserve"> по двадцать первый (включительно), равная предельной величине процентной ставки по субординированному обязательству</w:t>
      </w:r>
      <w:r w:rsidR="007B1F84">
        <w:rPr>
          <w:rFonts w:ascii="Times New Roman" w:hAnsi="Times New Roman"/>
          <w:b/>
          <w:bCs/>
          <w:i/>
          <w:iCs/>
        </w:rPr>
        <w:t xml:space="preserve"> в российских рублях</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российских рублях</w:t>
      </w:r>
      <w:r w:rsidRPr="00376521">
        <w:rPr>
          <w:rFonts w:ascii="Times New Roman" w:hAnsi="Times New Roman"/>
          <w:b/>
          <w:bCs/>
          <w:i/>
          <w:iCs/>
        </w:rPr>
        <w:t>, подлежащих включению в состав источников дополнительного капитала, на Дату определения новой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5F25906F" w14:textId="15323B87" w:rsidR="00490232" w:rsidRPr="007D5952"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Эмит</w:t>
      </w:r>
      <w:r w:rsidR="00970C06">
        <w:rPr>
          <w:rFonts w:ascii="Times New Roman" w:hAnsi="Times New Roman"/>
          <w:b/>
          <w:bCs/>
          <w:i/>
          <w:iCs/>
        </w:rPr>
        <w:t>ент уведомляет Биржу и НРД о ставке по купонным периодам с</w:t>
      </w:r>
      <w:r w:rsidR="00970C06" w:rsidRPr="00970C06">
        <w:rPr>
          <w:rFonts w:ascii="Times New Roman" w:hAnsi="Times New Roman"/>
          <w:b/>
          <w:bCs/>
          <w:i/>
          <w:iCs/>
        </w:rPr>
        <w:t xml:space="preserve">о второго </w:t>
      </w:r>
      <w:r w:rsidRPr="00376521">
        <w:rPr>
          <w:rFonts w:ascii="Times New Roman" w:hAnsi="Times New Roman"/>
          <w:b/>
          <w:bCs/>
          <w:i/>
          <w:iCs/>
        </w:rPr>
        <w:t xml:space="preserve">по двадцать первый (включительно) не позднее, чем за 1 (Один) день до даты начала </w:t>
      </w:r>
      <w:r w:rsidR="00970C06" w:rsidRPr="00970C06">
        <w:rPr>
          <w:rFonts w:ascii="Times New Roman" w:hAnsi="Times New Roman"/>
          <w:b/>
          <w:bCs/>
          <w:i/>
          <w:iCs/>
        </w:rPr>
        <w:t>соответствующего купонного периода</w:t>
      </w:r>
      <w:r w:rsidRPr="00376521">
        <w:rPr>
          <w:rFonts w:ascii="Times New Roman" w:hAnsi="Times New Roman"/>
          <w:b/>
          <w:bCs/>
          <w:i/>
          <w:iCs/>
        </w:rPr>
        <w:t xml:space="preserve">. </w:t>
      </w:r>
    </w:p>
    <w:p w14:paraId="35FFF644" w14:textId="6853637D" w:rsidR="00DF32C5" w:rsidRPr="00DF32C5" w:rsidRDefault="00DF32C5" w:rsidP="000B71CB">
      <w:pPr>
        <w:autoSpaceDE w:val="0"/>
        <w:autoSpaceDN w:val="0"/>
        <w:adjustRightInd w:val="0"/>
        <w:spacing w:before="120" w:after="120" w:line="240" w:lineRule="auto"/>
        <w:jc w:val="both"/>
        <w:rPr>
          <w:rFonts w:ascii="Times New Roman" w:hAnsi="Times New Roman"/>
          <w:b/>
          <w:bCs/>
          <w:i/>
          <w:iCs/>
        </w:rPr>
      </w:pPr>
      <w:r w:rsidRPr="00E71ACF">
        <w:rPr>
          <w:rFonts w:ascii="Times New Roman" w:hAnsi="Times New Roman"/>
          <w:b/>
          <w:bCs/>
          <w:i/>
          <w:iCs/>
        </w:rPr>
        <w:t>Информация о величине процентной ставки по купонным периодам со второго по двадцать первый (включительно) раскрывается Эмитентом не позднее 1 (</w:t>
      </w:r>
      <w:r w:rsidRPr="00DF32C5">
        <w:rPr>
          <w:rFonts w:ascii="Times New Roman" w:hAnsi="Times New Roman"/>
          <w:b/>
          <w:bCs/>
          <w:i/>
          <w:iCs/>
        </w:rPr>
        <w:t>Од</w:t>
      </w:r>
      <w:r w:rsidRPr="00E71ACF">
        <w:rPr>
          <w:rFonts w:ascii="Times New Roman" w:hAnsi="Times New Roman"/>
          <w:b/>
          <w:bCs/>
          <w:i/>
          <w:iCs/>
        </w:rPr>
        <w:t>ного) дня до даты начала соответствующего купонного периода:</w:t>
      </w:r>
    </w:p>
    <w:p w14:paraId="0E10D18C" w14:textId="0CD369BC" w:rsidR="000B71CB" w:rsidRPr="00DF32C5" w:rsidRDefault="000B71CB" w:rsidP="000B71CB">
      <w:pPr>
        <w:autoSpaceDE w:val="0"/>
        <w:autoSpaceDN w:val="0"/>
        <w:adjustRightInd w:val="0"/>
        <w:spacing w:before="120" w:after="120" w:line="240" w:lineRule="auto"/>
        <w:jc w:val="both"/>
        <w:rPr>
          <w:rFonts w:ascii="Times New Roman" w:hAnsi="Times New Roman"/>
          <w:b/>
          <w:bCs/>
          <w:i/>
          <w:iCs/>
        </w:rPr>
      </w:pPr>
      <w:r w:rsidRPr="00DF32C5">
        <w:rPr>
          <w:rFonts w:ascii="Times New Roman" w:hAnsi="Times New Roman"/>
          <w:b/>
          <w:bCs/>
          <w:i/>
          <w:iCs/>
        </w:rPr>
        <w:lastRenderedPageBreak/>
        <w:t xml:space="preserve">- в </w:t>
      </w:r>
      <w:r w:rsidR="00DF32C5" w:rsidRPr="00E71ACF">
        <w:rPr>
          <w:rFonts w:ascii="Times New Roman" w:hAnsi="Times New Roman"/>
          <w:b/>
          <w:bCs/>
          <w:i/>
          <w:iCs/>
        </w:rPr>
        <w:t>Л</w:t>
      </w:r>
      <w:r w:rsidR="00DF32C5" w:rsidRPr="00DF32C5">
        <w:rPr>
          <w:rFonts w:ascii="Times New Roman" w:hAnsi="Times New Roman"/>
          <w:b/>
          <w:bCs/>
          <w:i/>
          <w:iCs/>
        </w:rPr>
        <w:t xml:space="preserve">енте </w:t>
      </w:r>
      <w:r w:rsidRPr="00DF32C5">
        <w:rPr>
          <w:rFonts w:ascii="Times New Roman" w:hAnsi="Times New Roman"/>
          <w:b/>
          <w:bCs/>
          <w:i/>
          <w:iCs/>
        </w:rPr>
        <w:t>новостей;</w:t>
      </w:r>
    </w:p>
    <w:p w14:paraId="3643AE4B" w14:textId="693B6DAA" w:rsidR="000B71CB" w:rsidRPr="000B71CB" w:rsidRDefault="000B71CB" w:rsidP="000B71CB">
      <w:pPr>
        <w:autoSpaceDE w:val="0"/>
        <w:autoSpaceDN w:val="0"/>
        <w:adjustRightInd w:val="0"/>
        <w:spacing w:before="120" w:after="120" w:line="240" w:lineRule="auto"/>
        <w:jc w:val="both"/>
        <w:rPr>
          <w:rFonts w:ascii="Times New Roman" w:hAnsi="Times New Roman"/>
          <w:b/>
          <w:bCs/>
          <w:i/>
          <w:iCs/>
        </w:rPr>
      </w:pPr>
      <w:r w:rsidRPr="00DF32C5">
        <w:rPr>
          <w:rFonts w:ascii="Times New Roman" w:hAnsi="Times New Roman"/>
          <w:b/>
          <w:bCs/>
          <w:i/>
          <w:iCs/>
        </w:rPr>
        <w:t xml:space="preserve">- на </w:t>
      </w:r>
      <w:r w:rsidR="00DF32C5" w:rsidRPr="00E71ACF">
        <w:rPr>
          <w:rFonts w:ascii="Times New Roman" w:hAnsi="Times New Roman"/>
          <w:b/>
          <w:bCs/>
          <w:i/>
          <w:iCs/>
        </w:rPr>
        <w:t>с</w:t>
      </w:r>
      <w:r w:rsidR="00DF32C5" w:rsidRPr="00DF32C5">
        <w:rPr>
          <w:rFonts w:ascii="Times New Roman" w:hAnsi="Times New Roman"/>
          <w:b/>
          <w:bCs/>
          <w:i/>
          <w:iCs/>
        </w:rPr>
        <w:t>траниц</w:t>
      </w:r>
      <w:r w:rsidR="00DF32C5" w:rsidRPr="00E71ACF">
        <w:rPr>
          <w:rFonts w:ascii="Times New Roman" w:hAnsi="Times New Roman"/>
          <w:b/>
          <w:bCs/>
          <w:i/>
          <w:iCs/>
        </w:rPr>
        <w:t>е</w:t>
      </w:r>
      <w:r w:rsidR="00DF32C5" w:rsidRPr="00DF32C5">
        <w:rPr>
          <w:rFonts w:ascii="Times New Roman" w:hAnsi="Times New Roman"/>
          <w:b/>
          <w:bCs/>
          <w:i/>
          <w:iCs/>
        </w:rPr>
        <w:t xml:space="preserve"> </w:t>
      </w:r>
      <w:r w:rsidRPr="00DF32C5">
        <w:rPr>
          <w:rFonts w:ascii="Times New Roman" w:hAnsi="Times New Roman"/>
          <w:b/>
          <w:bCs/>
          <w:i/>
          <w:iCs/>
        </w:rPr>
        <w:t xml:space="preserve">в </w:t>
      </w:r>
      <w:r w:rsidR="00DF32C5" w:rsidRPr="00E71ACF">
        <w:rPr>
          <w:rFonts w:ascii="Times New Roman" w:hAnsi="Times New Roman"/>
          <w:b/>
          <w:bCs/>
          <w:i/>
          <w:iCs/>
        </w:rPr>
        <w:t>С</w:t>
      </w:r>
      <w:r w:rsidR="00DF32C5" w:rsidRPr="00DF32C5">
        <w:rPr>
          <w:rFonts w:ascii="Times New Roman" w:hAnsi="Times New Roman"/>
          <w:b/>
          <w:bCs/>
          <w:i/>
          <w:iCs/>
        </w:rPr>
        <w:t xml:space="preserve">ети </w:t>
      </w:r>
      <w:r w:rsidRPr="00DF32C5">
        <w:rPr>
          <w:rFonts w:ascii="Times New Roman" w:hAnsi="Times New Roman"/>
          <w:b/>
          <w:bCs/>
          <w:i/>
          <w:iCs/>
        </w:rPr>
        <w:t>Интернет.</w:t>
      </w:r>
    </w:p>
    <w:p w14:paraId="3F92EE70" w14:textId="0EC428F5" w:rsidR="000B71CB" w:rsidRPr="000B71CB" w:rsidRDefault="000B71CB" w:rsidP="000B71CB">
      <w:pPr>
        <w:autoSpaceDE w:val="0"/>
        <w:autoSpaceDN w:val="0"/>
        <w:adjustRightInd w:val="0"/>
        <w:spacing w:before="120" w:after="120" w:line="240" w:lineRule="auto"/>
        <w:jc w:val="both"/>
        <w:rPr>
          <w:rFonts w:ascii="Times New Roman" w:hAnsi="Times New Roman"/>
          <w:b/>
          <w:bCs/>
          <w:i/>
          <w:iCs/>
        </w:rPr>
      </w:pPr>
      <w:r w:rsidRPr="000B71CB">
        <w:rPr>
          <w:rFonts w:ascii="Times New Roman" w:hAnsi="Times New Roman"/>
          <w:b/>
          <w:bCs/>
          <w:i/>
          <w:iCs/>
        </w:rPr>
        <w:t xml:space="preserve">Публикация на </w:t>
      </w:r>
      <w:r w:rsidR="00DF32C5" w:rsidRPr="00E71ACF">
        <w:rPr>
          <w:rFonts w:ascii="Times New Roman" w:hAnsi="Times New Roman"/>
          <w:b/>
          <w:bCs/>
          <w:i/>
          <w:iCs/>
        </w:rPr>
        <w:t>с</w:t>
      </w:r>
      <w:r w:rsidR="00DF32C5" w:rsidRPr="000B71CB">
        <w:rPr>
          <w:rFonts w:ascii="Times New Roman" w:hAnsi="Times New Roman"/>
          <w:b/>
          <w:bCs/>
          <w:i/>
          <w:iCs/>
        </w:rPr>
        <w:t>траниц</w:t>
      </w:r>
      <w:r w:rsidR="00DF32C5" w:rsidRPr="00E71ACF">
        <w:rPr>
          <w:rFonts w:ascii="Times New Roman" w:hAnsi="Times New Roman"/>
          <w:b/>
          <w:bCs/>
          <w:i/>
          <w:iCs/>
        </w:rPr>
        <w:t>е</w:t>
      </w:r>
      <w:r w:rsidR="00DF32C5" w:rsidRPr="000B71CB">
        <w:rPr>
          <w:rFonts w:ascii="Times New Roman" w:hAnsi="Times New Roman"/>
          <w:b/>
          <w:bCs/>
          <w:i/>
          <w:iCs/>
        </w:rPr>
        <w:t xml:space="preserve"> </w:t>
      </w:r>
      <w:r w:rsidRPr="000B71CB">
        <w:rPr>
          <w:rFonts w:ascii="Times New Roman" w:hAnsi="Times New Roman"/>
          <w:b/>
          <w:bCs/>
          <w:i/>
          <w:iCs/>
        </w:rPr>
        <w:t xml:space="preserve">в </w:t>
      </w:r>
      <w:r w:rsidR="00DF32C5" w:rsidRPr="00E71ACF">
        <w:rPr>
          <w:rFonts w:ascii="Times New Roman" w:hAnsi="Times New Roman"/>
          <w:b/>
          <w:bCs/>
          <w:i/>
          <w:iCs/>
        </w:rPr>
        <w:t>С</w:t>
      </w:r>
      <w:r w:rsidR="00DF32C5" w:rsidRPr="000B71CB">
        <w:rPr>
          <w:rFonts w:ascii="Times New Roman" w:hAnsi="Times New Roman"/>
          <w:b/>
          <w:bCs/>
          <w:i/>
          <w:iCs/>
        </w:rPr>
        <w:t xml:space="preserve">ети </w:t>
      </w:r>
      <w:r w:rsidRPr="000B71CB">
        <w:rPr>
          <w:rFonts w:ascii="Times New Roman" w:hAnsi="Times New Roman"/>
          <w:b/>
          <w:bCs/>
          <w:i/>
          <w:iCs/>
        </w:rPr>
        <w:t>Интернет осуществляется после публикации в</w:t>
      </w:r>
      <w:r>
        <w:rPr>
          <w:rFonts w:ascii="Times New Roman" w:hAnsi="Times New Roman"/>
          <w:b/>
          <w:bCs/>
          <w:i/>
          <w:iCs/>
        </w:rPr>
        <w:t xml:space="preserve"> </w:t>
      </w:r>
      <w:r w:rsidR="0009246C" w:rsidRPr="0009246C">
        <w:rPr>
          <w:rFonts w:ascii="Times New Roman" w:hAnsi="Times New Roman"/>
          <w:b/>
          <w:bCs/>
          <w:i/>
          <w:iCs/>
        </w:rPr>
        <w:t>Л</w:t>
      </w:r>
      <w:r>
        <w:rPr>
          <w:rFonts w:ascii="Times New Roman" w:hAnsi="Times New Roman"/>
          <w:b/>
          <w:bCs/>
          <w:i/>
          <w:iCs/>
        </w:rPr>
        <w:t>енте</w:t>
      </w:r>
      <w:r w:rsidRPr="000B71CB">
        <w:rPr>
          <w:rFonts w:ascii="Times New Roman" w:hAnsi="Times New Roman"/>
          <w:b/>
          <w:bCs/>
          <w:i/>
          <w:iCs/>
        </w:rPr>
        <w:t xml:space="preserve"> новостей.</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2A68194" w14:textId="2C156B34" w:rsidR="009F0FE6" w:rsidRPr="00376521"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Pr="00376521">
        <w:rPr>
          <w:rFonts w:ascii="Times New Roman" w:hAnsi="Times New Roman"/>
          <w:b/>
          <w:bCs/>
          <w:i/>
          <w:iCs/>
        </w:rPr>
        <w:t>в безналичном порядке.</w:t>
      </w:r>
    </w:p>
    <w:p w14:paraId="654A4B8C" w14:textId="4CBE7C29"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w:t>
      </w:r>
      <w:r w:rsidR="00490232" w:rsidRPr="00376521">
        <w:rPr>
          <w:rFonts w:ascii="Times New Roman" w:hAnsi="Times New Roman"/>
          <w:b/>
          <w:bCs/>
          <w:i/>
          <w:iCs/>
        </w:rPr>
        <w:t>О</w:t>
      </w:r>
      <w:r w:rsidRPr="00376521">
        <w:rPr>
          <w:rFonts w:ascii="Times New Roman" w:hAnsi="Times New Roman"/>
          <w:b/>
          <w:bCs/>
          <w:i/>
          <w:iCs/>
        </w:rPr>
        <w:t>блигациям указан в пункте 5.4 Решения о выпуске.</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283C87DA"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 xml:space="preserve">В случае принятия Эмитентом решения о </w:t>
      </w:r>
      <w:r w:rsidR="007C5E0C" w:rsidRPr="007C5E0C">
        <w:rPr>
          <w:rFonts w:ascii="Times New Roman" w:hAnsi="Times New Roman"/>
          <w:b/>
          <w:bCs/>
          <w:i/>
          <w:iCs/>
        </w:rPr>
        <w:t xml:space="preserve">досрочном </w:t>
      </w:r>
      <w:r w:rsidRPr="007C5E0C">
        <w:rPr>
          <w:rFonts w:ascii="Times New Roman" w:hAnsi="Times New Roman"/>
          <w:b/>
          <w:bCs/>
          <w:i/>
          <w:iCs/>
        </w:rPr>
        <w:t>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досрочного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62DB8E70" w14:textId="1A234997" w:rsidR="00612991" w:rsidRPr="007C5E0C" w:rsidRDefault="00612991" w:rsidP="00950630">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У Эмитента отсутствует право отказаться в одностороннем порядке от уплаты процента (купона) по Облигациям.</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5CF65DAD"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73DC3860"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досрочного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44596B9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усмотрению </w:t>
      </w:r>
      <w:r>
        <w:rPr>
          <w:rFonts w:ascii="Times New Roman" w:hAnsi="Times New Roman"/>
          <w:b/>
          <w:i/>
          <w:iCs/>
          <w:lang w:eastAsia="ru-RU"/>
        </w:rPr>
        <w:t>Э</w:t>
      </w:r>
      <w:r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досрочно,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33CD5FFC"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досрочного погашения 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34FB0AFD"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Досрочное погашение Облигаций 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осуществляется в отношении всех Облигаций </w:t>
      </w:r>
      <w:r>
        <w:rPr>
          <w:rFonts w:ascii="Times New Roman" w:hAnsi="Times New Roman"/>
          <w:b/>
          <w:i/>
          <w:iCs/>
          <w:color w:val="000000"/>
          <w:lang w:eastAsia="ru-RU"/>
        </w:rPr>
        <w:t xml:space="preserve">отдельного </w:t>
      </w:r>
      <w:r w:rsidRPr="00F95F16">
        <w:rPr>
          <w:rFonts w:ascii="Times New Roman" w:hAnsi="Times New Roman"/>
          <w:b/>
          <w:i/>
          <w:iCs/>
          <w:color w:val="000000"/>
          <w:lang w:eastAsia="ru-RU"/>
        </w:rPr>
        <w:t>выпуска</w:t>
      </w:r>
      <w:r>
        <w:rPr>
          <w:rFonts w:ascii="Times New Roman" w:hAnsi="Times New Roman"/>
          <w:b/>
          <w:i/>
          <w:iCs/>
          <w:color w:val="000000"/>
          <w:lang w:eastAsia="ru-RU"/>
        </w:rPr>
        <w:t>, размещенного в рамках Программы облигаций</w:t>
      </w:r>
      <w:r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76CC2859"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досрочном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582C9E19" w14:textId="26EBFD0E"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Досрочное п</w:t>
      </w:r>
      <w:r w:rsidRPr="006F4653">
        <w:rPr>
          <w:rFonts w:ascii="Times New Roman" w:hAnsi="Times New Roman"/>
          <w:b/>
          <w:i/>
          <w:iCs/>
          <w:color w:val="000000"/>
          <w:lang w:eastAsia="ru-RU"/>
        </w:rPr>
        <w:t xml:space="preserve">огашение Облигаций производится денежными средствами в </w:t>
      </w:r>
      <w:r>
        <w:rPr>
          <w:rFonts w:ascii="Times New Roman" w:hAnsi="Times New Roman"/>
          <w:b/>
          <w:i/>
          <w:iCs/>
          <w:color w:val="000000"/>
          <w:lang w:eastAsia="ru-RU"/>
        </w:rPr>
        <w:t>российских рублях</w:t>
      </w:r>
      <w:r w:rsidRPr="006F4653">
        <w:rPr>
          <w:rFonts w:ascii="Times New Roman" w:hAnsi="Times New Roman"/>
          <w:b/>
          <w:i/>
          <w:iCs/>
          <w:color w:val="000000"/>
          <w:lang w:eastAsia="ru-RU"/>
        </w:rPr>
        <w:t xml:space="preserve"> в безналичном порядке.</w:t>
      </w:r>
    </w:p>
    <w:p w14:paraId="42B9FB40" w14:textId="77777777" w:rsidR="00156D5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1CAF6579"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досрочно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B5376EB"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досрочном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блигаций, в состав источников дополнительного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332A7C4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Эмитент принимает решение о досрочном</w:t>
      </w:r>
      <w:r>
        <w:rPr>
          <w:rFonts w:ascii="Times New Roman" w:hAnsi="Times New Roman"/>
          <w:b/>
          <w:i/>
          <w:iCs/>
          <w:color w:val="000000"/>
          <w:lang w:eastAsia="ru-RU"/>
        </w:rPr>
        <w:t xml:space="preserve"> </w:t>
      </w:r>
      <w:r w:rsidRPr="00C56DC4">
        <w:rPr>
          <w:rFonts w:ascii="Times New Roman" w:hAnsi="Times New Roman"/>
          <w:b/>
          <w:i/>
          <w:iCs/>
          <w:color w:val="000000"/>
          <w:lang w:eastAsia="ru-RU"/>
        </w:rPr>
        <w:t xml:space="preserve">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088C933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дополнительного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досрочно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дополнительного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21B49C5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досрочном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досрочного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3B32DF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дополнительного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досрочно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дополнительного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блигаций, в полном объеме или частично в состав источников дополнительного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47B046E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досрочном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досрочного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5F3EC98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дополнительного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досрочно погасить </w:t>
      </w:r>
      <w:r w:rsidRPr="00A70C67">
        <w:rPr>
          <w:rFonts w:ascii="Times New Roman" w:hAnsi="Times New Roman"/>
          <w:b/>
          <w:i/>
          <w:iCs/>
          <w:lang w:eastAsia="ru-RU"/>
        </w:rPr>
        <w:lastRenderedPageBreak/>
        <w:t xml:space="preserve">Облигации по своему усмотрению в </w:t>
      </w:r>
      <w:r w:rsidR="005A5FB9">
        <w:rPr>
          <w:rFonts w:ascii="Times New Roman" w:hAnsi="Times New Roman"/>
          <w:b/>
          <w:i/>
          <w:iCs/>
          <w:lang w:eastAsia="ru-RU"/>
        </w:rPr>
        <w:t>дату окончания одиннадцатого купонного п</w:t>
      </w:r>
      <w:r w:rsidR="0009246C" w:rsidRPr="0009246C">
        <w:rPr>
          <w:rFonts w:ascii="Times New Roman" w:hAnsi="Times New Roman"/>
          <w:b/>
          <w:i/>
          <w:iCs/>
          <w:lang w:eastAsia="ru-RU"/>
        </w:rPr>
        <w:t>е</w:t>
      </w:r>
      <w:r w:rsidR="0009246C">
        <w:rPr>
          <w:rFonts w:ascii="Times New Roman" w:hAnsi="Times New Roman"/>
          <w:b/>
          <w:i/>
          <w:iCs/>
          <w:lang w:eastAsia="ru-RU"/>
        </w:rPr>
        <w:t>р</w:t>
      </w:r>
      <w:r w:rsidR="005A5FB9">
        <w:rPr>
          <w:rFonts w:ascii="Times New Roman" w:hAnsi="Times New Roman"/>
          <w:b/>
          <w:i/>
          <w:iCs/>
          <w:lang w:eastAsia="ru-RU"/>
        </w:rPr>
        <w:t>иода</w:t>
      </w:r>
      <w:r w:rsidRPr="00A70C67">
        <w:rPr>
          <w:rFonts w:ascii="Times New Roman" w:hAnsi="Times New Roman"/>
          <w:b/>
          <w:i/>
          <w:iCs/>
          <w:lang w:eastAsia="ru-RU"/>
        </w:rPr>
        <w:t>, а в последующем в дату окончания каждого купонного периода Облигаций.</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2236CA3F"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досрочном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досрочного 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Default="00075D43" w:rsidP="00156D52">
      <w:pPr>
        <w:autoSpaceDE w:val="0"/>
        <w:autoSpaceDN w:val="0"/>
        <w:adjustRightInd w:val="0"/>
        <w:spacing w:after="0" w:line="240" w:lineRule="auto"/>
        <w:jc w:val="both"/>
        <w:rPr>
          <w:rFonts w:ascii="Times New Roman" w:hAnsi="Times New Roman"/>
          <w:b/>
          <w:i/>
          <w:iCs/>
          <w:lang w:eastAsia="ru-RU"/>
        </w:rPr>
      </w:pPr>
    </w:p>
    <w:p w14:paraId="6ACABBF6" w14:textId="2E633A2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досрочного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24BEFF7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2D75EF1B"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досрочном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7777777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досрочного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071D49F5"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усмотрению </w:t>
      </w:r>
      <w:r>
        <w:rPr>
          <w:rFonts w:ascii="Times New Roman" w:hAnsi="Times New Roman"/>
          <w:b/>
          <w:i/>
          <w:iCs/>
          <w:lang w:eastAsia="ru-RU"/>
        </w:rPr>
        <w:t>Э</w:t>
      </w:r>
      <w:r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5C72F85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досрочного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xml:space="preserve">, </w:t>
      </w:r>
      <w:r>
        <w:rPr>
          <w:rFonts w:ascii="Times New Roman" w:hAnsi="Times New Roman"/>
          <w:b/>
          <w:i/>
          <w:iCs/>
          <w:lang w:eastAsia="ru-RU"/>
        </w:rPr>
        <w:t xml:space="preserve">досрочное </w:t>
      </w:r>
      <w:r w:rsidRPr="00F95F16">
        <w:rPr>
          <w:rFonts w:ascii="Times New Roman" w:hAnsi="Times New Roman"/>
          <w:b/>
          <w:i/>
          <w:iCs/>
          <w:lang w:eastAsia="ru-RU"/>
        </w:rPr>
        <w:t>погашение Облигаций производится по цене, равной 100% от оставшейся части номинальной стоимости Облигаций.</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досрочном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досрочного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0977A14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досрочного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выплата купонного дохода при </w:t>
      </w:r>
      <w:r w:rsidRPr="00EC377B">
        <w:rPr>
          <w:rFonts w:ascii="Times New Roman" w:hAnsi="Times New Roman"/>
          <w:b/>
          <w:i/>
          <w:iCs/>
          <w:lang w:eastAsia="ru-RU"/>
        </w:rPr>
        <w:t>досрочном погашении Облигаций производится</w:t>
      </w:r>
      <w:r>
        <w:rPr>
          <w:rFonts w:ascii="Times New Roman" w:hAnsi="Times New Roman"/>
          <w:b/>
          <w:i/>
          <w:iCs/>
          <w:lang w:eastAsia="ru-RU"/>
        </w:rPr>
        <w:t xml:space="preserve"> в размере, который не был прекращен.</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214044CC"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досрочном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0EC38817" w14:textId="7BFC87F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досрочном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дополнительного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37644E7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досрочном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досрочного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77D620E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досрочном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досрочное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досрочного погашения Облигаций либо отказывает в согласовании возможности досрочного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7CB22E1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досрочном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досрочного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досрочное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досрочном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4A4CA0C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досрочное погашение Облигаций по усмотрению эмитента </w:t>
      </w:r>
      <w:r w:rsidRPr="00F95F16">
        <w:rPr>
          <w:rFonts w:ascii="Times New Roman" w:hAnsi="Times New Roman"/>
          <w:b/>
          <w:i/>
          <w:iCs/>
          <w:lang w:eastAsia="ru-RU"/>
        </w:rPr>
        <w:lastRenderedPageBreak/>
        <w:t xml:space="preserve">не принято решение о досрочном погашении Облигаций, то считается, что возможность досрочного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досрочно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досрочном погашении Облигаций раскрывается в форме сообщения о существенном факте не позднее чем за 14 (Четырнадцать) дней до дня осуществления такого досрочного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досрочного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досрочного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досрочного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4B064D0C"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досрочного 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досрочно погашены в Дату досрочного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досрочном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6B528BE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досрочного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5A5FB9">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5A5FB9">
        <w:rPr>
          <w:rFonts w:ascii="Times New Roman" w:hAnsi="Times New Roman"/>
          <w:b/>
          <w:i/>
          <w:iCs/>
          <w:lang w:eastAsia="ru-RU"/>
        </w:rPr>
        <w:t>и</w:t>
      </w:r>
      <w:r w:rsidRPr="00F95F16">
        <w:rPr>
          <w:rFonts w:ascii="Times New Roman" w:hAnsi="Times New Roman"/>
          <w:b/>
          <w:i/>
          <w:iCs/>
          <w:lang w:eastAsia="ru-RU"/>
        </w:rPr>
        <w:t>) д</w:t>
      </w:r>
      <w:r w:rsidR="005A5FB9">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досрочном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1F510170"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досрочного 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досрочного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77777777"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6A6FB6A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досрочного погашения облигаций по усмотрению эмитента: </w:t>
      </w:r>
    </w:p>
    <w:p w14:paraId="2C83DED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5A0908DE" w14:textId="014ADE6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досрочного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7175DCD"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по решению Эмитента через депозитарий, осуществляющий учет прав на ценные бумаги, депонентами которого они являются. </w:t>
      </w:r>
    </w:p>
    <w:p w14:paraId="46763E5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w:t>
      </w:r>
      <w:r w:rsidRPr="00F95F16">
        <w:rPr>
          <w:rFonts w:ascii="Times New Roman" w:hAnsi="Times New Roman"/>
          <w:b/>
          <w:i/>
          <w:iCs/>
          <w:lang w:eastAsia="ru-RU"/>
        </w:rPr>
        <w:lastRenderedPageBreak/>
        <w:t xml:space="preserve">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досрочного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404E9A2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CE4944" w:rsidRPr="00CE4944">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досрочного погашения Облигаций в случае, если в установленную дату (установленный срок) обязанность Эмитента по осуществлению денежных выплат в счет досрочного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производится в соответствии с порядком, установленным требованиями действующего </w:t>
      </w:r>
      <w:r>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3E9F05B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досрочно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717B01E9"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досрочном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досрочного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выплата купонного дохода при досрочном погашении Облигаций производится в размере, который не был прекращен.</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1E2DA00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досрочном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w:t>
      </w:r>
      <w:r>
        <w:rPr>
          <w:rFonts w:ascii="Times New Roman" w:hAnsi="Times New Roman"/>
          <w:b/>
          <w:i/>
          <w:iCs/>
          <w:lang w:eastAsia="ru-RU"/>
        </w:rPr>
        <w:t xml:space="preserve">досрочному </w:t>
      </w:r>
      <w:r w:rsidRPr="00F95F16">
        <w:rPr>
          <w:rFonts w:ascii="Times New Roman" w:hAnsi="Times New Roman"/>
          <w:b/>
          <w:i/>
          <w:iCs/>
          <w:lang w:eastAsia="ru-RU"/>
        </w:rPr>
        <w:t xml:space="preserve">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досрочно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досрочного погашения Облигаций Эмитент публикует информацию об итогах досрочного погашения Облигаций по усмотрению Эмитента в форме сообщения о существенном факте в следующие сроки с даты </w:t>
      </w:r>
      <w:r>
        <w:rPr>
          <w:rFonts w:ascii="Times New Roman" w:hAnsi="Times New Roman"/>
          <w:b/>
          <w:i/>
          <w:iCs/>
          <w:lang w:eastAsia="ru-RU"/>
        </w:rPr>
        <w:t xml:space="preserve">досрочного </w:t>
      </w:r>
      <w:r w:rsidRPr="00A70C67">
        <w:rPr>
          <w:rFonts w:ascii="Times New Roman" w:hAnsi="Times New Roman"/>
          <w:b/>
          <w:i/>
          <w:iCs/>
          <w:lang w:eastAsia="ru-RU"/>
        </w:rPr>
        <w:t xml:space="preserve">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ED7E830"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w:t>
      </w:r>
      <w:r>
        <w:rPr>
          <w:rFonts w:ascii="Times New Roman" w:hAnsi="Times New Roman"/>
          <w:b/>
          <w:i/>
          <w:iCs/>
          <w:lang w:eastAsia="ru-RU"/>
        </w:rPr>
        <w:t>количестве досрочно погашенных Облигаций.</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досрочного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77777777"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досрочном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58CE868B"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lastRenderedPageBreak/>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760BB304" w14:textId="060C6A20" w:rsidR="00156D52" w:rsidRDefault="005A5FB9"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Облигации не являются облигациями без срока погашения.</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0169D6AD" w:rsidR="00156D52" w:rsidRDefault="005A5FB9"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986A90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4A347A58"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 с Инструкцией Банка России №</w:t>
      </w:r>
      <w:r w:rsidR="008F1BAC" w:rsidRPr="008F1BAC">
        <w:rPr>
          <w:rFonts w:ascii="Times New Roman" w:hAnsi="Times New Roman"/>
          <w:b/>
          <w:bCs/>
          <w:i/>
          <w:iCs/>
        </w:rPr>
        <w:t>199</w:t>
      </w:r>
      <w:r w:rsidRPr="00DD163F">
        <w:rPr>
          <w:rFonts w:ascii="Times New Roman" w:hAnsi="Times New Roman"/>
          <w:b/>
          <w:bCs/>
          <w:i/>
          <w:iCs/>
        </w:rPr>
        <w:t>-И, достигло уровня ниже 2 процентов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lastRenderedPageBreak/>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3F37B858"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2 процентов.</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процентов;</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584B4539"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 xml:space="preserve">струкцией Банка России № </w:t>
      </w:r>
      <w:r w:rsidR="008F1BAC" w:rsidRPr="008F1BAC">
        <w:rPr>
          <w:rFonts w:ascii="Times New Roman" w:hAnsi="Times New Roman"/>
          <w:b/>
          <w:bCs/>
          <w:i/>
          <w:iCs/>
        </w:rPr>
        <w:t>199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68BBF6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финансирования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2 процентов; </w:t>
      </w:r>
    </w:p>
    <w:p w14:paraId="1D77B611" w14:textId="01614FA9"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8F1BAC" w:rsidRPr="008F1BAC">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 xml:space="preserve">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w:t>
      </w:r>
      <w:r w:rsidRPr="00DD163F">
        <w:rPr>
          <w:rFonts w:ascii="Times New Roman" w:hAnsi="Times New Roman"/>
          <w:b/>
          <w:bCs/>
          <w:i/>
          <w:iCs/>
        </w:rPr>
        <w:lastRenderedPageBreak/>
        <w:t>(заседания)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317E83C4"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Дату прекращения обязательств, либо в дату погашения / Дату досрочного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7B9C462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2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8F1BAC" w:rsidRPr="008F1BAC">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7F9233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дополнительного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2 процентов, а в случае реализации плана участия Банка России или Агентства в осуществлении мер по предупреждению банкротства Банка – в сумме (количестве выпусков), позволяющей </w:t>
      </w:r>
      <w:r w:rsidRPr="00DD163F">
        <w:rPr>
          <w:rFonts w:ascii="Times New Roman" w:hAnsi="Times New Roman"/>
          <w:b/>
          <w:bCs/>
          <w:i/>
          <w:iCs/>
        </w:rPr>
        <w:lastRenderedPageBreak/>
        <w:t>(позволяющем) 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8F1BAC" w:rsidRPr="008F1BAC">
        <w:rPr>
          <w:rFonts w:ascii="Times New Roman" w:hAnsi="Times New Roman"/>
          <w:b/>
          <w:bCs/>
          <w:i/>
          <w:iCs/>
        </w:rPr>
        <w:t>199</w:t>
      </w:r>
      <w:r w:rsidR="000159FC" w:rsidRPr="00DD163F">
        <w:rPr>
          <w:rFonts w:ascii="Times New Roman" w:hAnsi="Times New Roman"/>
          <w:b/>
          <w:bCs/>
          <w:i/>
          <w:iCs/>
        </w:rPr>
        <w:t xml:space="preserve">-И. </w:t>
      </w:r>
    </w:p>
    <w:p w14:paraId="311DB479" w14:textId="0756586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наличии у Эмитента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Положением Банка России №646-П последовательно, начиная с субординированных инструментов, включаемых в состав и</w:t>
      </w:r>
      <w:r w:rsidR="000159FC" w:rsidRPr="00DD163F">
        <w:rPr>
          <w:rFonts w:ascii="Times New Roman" w:hAnsi="Times New Roman"/>
          <w:b/>
          <w:bCs/>
          <w:i/>
          <w:iCs/>
        </w:rPr>
        <w:t>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068DE45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Облигаций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1329FB2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11D15B33"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5A5FB9">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8F1BAC" w:rsidRPr="008F1BAC">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754D14B0"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w:t>
      </w:r>
      <w:r w:rsidRPr="000A3EFF">
        <w:rPr>
          <w:rFonts w:ascii="Times New Roman" w:hAnsi="Times New Roman"/>
          <w:b/>
          <w:bCs/>
          <w:i/>
          <w:iCs/>
        </w:rPr>
        <w:lastRenderedPageBreak/>
        <w:t>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w:t>
      </w:r>
      <w:r w:rsidR="000159FC" w:rsidRPr="000A3EFF">
        <w:rPr>
          <w:rFonts w:ascii="Times New Roman" w:hAnsi="Times New Roman"/>
          <w:b/>
          <w:bCs/>
          <w:i/>
          <w:iCs/>
        </w:rPr>
        <w:t xml:space="preserve"> 5 до 9.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r w:rsidRPr="000A3EFF">
        <w:rPr>
          <w:rFonts w:ascii="Times New Roman" w:hAnsi="Times New Roman"/>
          <w:b/>
          <w:bCs/>
          <w:i/>
          <w:iCs/>
        </w:rPr>
        <w:lastRenderedPageBreak/>
        <w:t xml:space="preserve">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0A7AA648" w:rsidR="00B8725F" w:rsidRPr="000A3EFF" w:rsidRDefault="00EE2055" w:rsidP="00F30C33">
      <w:pPr>
        <w:autoSpaceDE w:val="0"/>
        <w:autoSpaceDN w:val="0"/>
        <w:adjustRightInd w:val="0"/>
        <w:spacing w:before="120" w:after="120" w:line="240" w:lineRule="auto"/>
        <w:jc w:val="both"/>
        <w:rPr>
          <w:rFonts w:ascii="Times New Roman" w:hAnsi="Times New Roman"/>
          <w:b/>
          <w:bCs/>
          <w:i/>
          <w:iCs/>
        </w:rPr>
      </w:pPr>
      <w:r w:rsidRPr="00EE2055">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46414F94" w:rsidR="00B67C22" w:rsidRPr="000A3EFF" w:rsidRDefault="00EE2055"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lastRenderedPageBreak/>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1659E1D3" w14:textId="30649150" w:rsid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дополнительного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1CE88152"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11390AA3" w14:textId="77777777" w:rsidR="00EE2055" w:rsidRP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459BE6B"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11EAF959" w14:textId="77777777" w:rsidR="00EE2055" w:rsidRP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7E6C8313"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23ED7580" w14:textId="77777777" w:rsidR="00EE2055" w:rsidRP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67C1843E"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05FB2913" w14:textId="77777777" w:rsidR="00EE2055" w:rsidRP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F637C9F"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76B09482" w14:textId="77777777" w:rsidR="00EE2055" w:rsidRP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 xml:space="preserve">4) Сведения в отношении наименований, местонахождений 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6F3E3AA2"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415C38FC" w14:textId="77777777" w:rsidR="00EE2055" w:rsidRP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В случае изменения наименования, местонахождения и других реквизитов обществ (организаций), указанных в Решении о выпуске, данную информацию следует читать с учетом соответствующих изменений.</w:t>
      </w:r>
    </w:p>
    <w:p w14:paraId="0A02F730"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2ED1A589" w14:textId="77777777" w:rsidR="00EE2055" w:rsidRPr="00EE2055" w:rsidRDefault="00EE2055" w:rsidP="00E71ACF">
      <w:pPr>
        <w:autoSpaceDE w:val="0"/>
        <w:autoSpaceDN w:val="0"/>
        <w:adjustRightInd w:val="0"/>
        <w:spacing w:after="0" w:line="240" w:lineRule="auto"/>
        <w:jc w:val="both"/>
        <w:rPr>
          <w:rFonts w:ascii="Times New Roman" w:hAnsi="Times New Roman"/>
          <w:b/>
          <w:bCs/>
          <w:i/>
          <w:iCs/>
        </w:rPr>
      </w:pPr>
      <w:r w:rsidRPr="00EE2055">
        <w:rPr>
          <w:rFonts w:ascii="Times New Roman" w:hAnsi="Times New Roman"/>
          <w:b/>
          <w:bCs/>
          <w:i/>
          <w:iCs/>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3BC83BFB" w14:textId="77777777" w:rsidR="00EE2055" w:rsidRPr="00E71ACF" w:rsidRDefault="00EE2055" w:rsidP="00E71ACF">
      <w:pPr>
        <w:autoSpaceDE w:val="0"/>
        <w:autoSpaceDN w:val="0"/>
        <w:adjustRightInd w:val="0"/>
        <w:spacing w:after="0" w:line="240" w:lineRule="auto"/>
        <w:jc w:val="both"/>
        <w:rPr>
          <w:rFonts w:ascii="Times New Roman" w:hAnsi="Times New Roman"/>
          <w:b/>
          <w:bCs/>
          <w:i/>
          <w:iCs/>
          <w:sz w:val="14"/>
          <w:szCs w:val="14"/>
        </w:rPr>
      </w:pPr>
    </w:p>
    <w:p w14:paraId="64E80E67" w14:textId="121971C3" w:rsidR="00E6277C" w:rsidRDefault="00EE2055" w:rsidP="00EE2055">
      <w:pPr>
        <w:autoSpaceDE w:val="0"/>
        <w:autoSpaceDN w:val="0"/>
        <w:adjustRightInd w:val="0"/>
        <w:spacing w:after="0" w:line="240" w:lineRule="auto"/>
        <w:jc w:val="both"/>
        <w:rPr>
          <w:b/>
          <w:bCs/>
          <w:i/>
          <w:iCs/>
        </w:rPr>
      </w:pPr>
      <w:r w:rsidRPr="00EE2055">
        <w:rPr>
          <w:rFonts w:ascii="Times New Roman" w:hAnsi="Times New Roman"/>
          <w:b/>
          <w:bCs/>
          <w:i/>
          <w:iCs/>
        </w:rPr>
        <w:t>6)</w:t>
      </w:r>
      <w:r>
        <w:rPr>
          <w:rFonts w:ascii="Times New Roman" w:hAnsi="Times New Roman"/>
          <w:b/>
          <w:bCs/>
          <w:i/>
          <w:iCs/>
        </w:rPr>
        <w:t xml:space="preserve"> </w:t>
      </w:r>
      <w:r w:rsidR="00E6277C" w:rsidRPr="00EE2055">
        <w:rPr>
          <w:rFonts w:ascii="Times New Roman" w:hAnsi="Times New Roman" w:cs="Times New Roman"/>
          <w:b/>
          <w:bCs/>
          <w:i/>
          <w:iCs/>
        </w:rPr>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w:t>
      </w:r>
      <w:r w:rsidR="00E6277C" w:rsidRPr="004C1062">
        <w:rPr>
          <w:b/>
          <w:bCs/>
          <w:i/>
          <w:iCs/>
        </w:rPr>
        <w:t xml:space="preserve">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w:t>
      </w:r>
      <w:r w:rsidRPr="004C1062">
        <w:rPr>
          <w:b/>
          <w:bCs/>
          <w:i/>
          <w:iCs/>
          <w:color w:val="auto"/>
          <w:sz w:val="22"/>
          <w:szCs w:val="22"/>
        </w:rPr>
        <w:lastRenderedPageBreak/>
        <w:t xml:space="preserve">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19F29104" w14:textId="77777777" w:rsidR="00E6277C"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E6277C"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50E67" w14:textId="77777777" w:rsidR="008B538B" w:rsidRDefault="008B538B" w:rsidP="00B97F78">
      <w:pPr>
        <w:spacing w:after="0" w:line="240" w:lineRule="auto"/>
      </w:pPr>
      <w:r>
        <w:separator/>
      </w:r>
    </w:p>
  </w:endnote>
  <w:endnote w:type="continuationSeparator" w:id="0">
    <w:p w14:paraId="0797F57A" w14:textId="77777777" w:rsidR="008B538B" w:rsidRDefault="008B538B" w:rsidP="00B97F78">
      <w:pPr>
        <w:spacing w:after="0" w:line="240" w:lineRule="auto"/>
      </w:pPr>
      <w:r>
        <w:continuationSeparator/>
      </w:r>
    </w:p>
  </w:endnote>
  <w:endnote w:type="continuationNotice" w:id="1">
    <w:p w14:paraId="01A7FB39" w14:textId="77777777" w:rsidR="008B538B" w:rsidRDefault="008B5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02249DC" w:rsidR="00C774A6" w:rsidRPr="00C12901" w:rsidRDefault="00C774A6"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53D6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D85FC" w14:textId="77777777" w:rsidR="008B538B" w:rsidRDefault="008B538B" w:rsidP="00B97F78">
      <w:pPr>
        <w:spacing w:after="0" w:line="240" w:lineRule="auto"/>
      </w:pPr>
      <w:r>
        <w:separator/>
      </w:r>
    </w:p>
  </w:footnote>
  <w:footnote w:type="continuationSeparator" w:id="0">
    <w:p w14:paraId="285925F9" w14:textId="77777777" w:rsidR="008B538B" w:rsidRDefault="008B538B" w:rsidP="00B97F78">
      <w:pPr>
        <w:spacing w:after="0" w:line="240" w:lineRule="auto"/>
      </w:pPr>
      <w:r>
        <w:continuationSeparator/>
      </w:r>
    </w:p>
  </w:footnote>
  <w:footnote w:type="continuationNotice" w:id="1">
    <w:p w14:paraId="040290A5" w14:textId="77777777" w:rsidR="008B538B" w:rsidRDefault="008B53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C774A6" w:rsidRPr="0096612E" w:rsidRDefault="00C774A6"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1472"/>
    <w:rsid w:val="00074DD8"/>
    <w:rsid w:val="00075D43"/>
    <w:rsid w:val="00075D7D"/>
    <w:rsid w:val="00076396"/>
    <w:rsid w:val="00080012"/>
    <w:rsid w:val="00082F60"/>
    <w:rsid w:val="00083746"/>
    <w:rsid w:val="00087F00"/>
    <w:rsid w:val="00090230"/>
    <w:rsid w:val="0009246C"/>
    <w:rsid w:val="00095D51"/>
    <w:rsid w:val="000962CF"/>
    <w:rsid w:val="000A35FB"/>
    <w:rsid w:val="000A3EFF"/>
    <w:rsid w:val="000A3FA5"/>
    <w:rsid w:val="000A78D2"/>
    <w:rsid w:val="000B0764"/>
    <w:rsid w:val="000B2417"/>
    <w:rsid w:val="000B3DF0"/>
    <w:rsid w:val="000B4728"/>
    <w:rsid w:val="000B71CB"/>
    <w:rsid w:val="000C0CC6"/>
    <w:rsid w:val="000C1DF4"/>
    <w:rsid w:val="000C3B77"/>
    <w:rsid w:val="000D0DC3"/>
    <w:rsid w:val="000D13AB"/>
    <w:rsid w:val="000D41B7"/>
    <w:rsid w:val="000D43A1"/>
    <w:rsid w:val="000D44AA"/>
    <w:rsid w:val="000E0FFE"/>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4772"/>
    <w:rsid w:val="001B5689"/>
    <w:rsid w:val="001B78C4"/>
    <w:rsid w:val="001C0762"/>
    <w:rsid w:val="001C1BA0"/>
    <w:rsid w:val="001C2BD3"/>
    <w:rsid w:val="001C4D1B"/>
    <w:rsid w:val="001C5C15"/>
    <w:rsid w:val="001C71F8"/>
    <w:rsid w:val="001D4AE9"/>
    <w:rsid w:val="001D6715"/>
    <w:rsid w:val="001E04CD"/>
    <w:rsid w:val="001E081D"/>
    <w:rsid w:val="001E0985"/>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3705"/>
    <w:rsid w:val="0026503B"/>
    <w:rsid w:val="00265F5E"/>
    <w:rsid w:val="00266E36"/>
    <w:rsid w:val="00276B2D"/>
    <w:rsid w:val="002808EF"/>
    <w:rsid w:val="002810C6"/>
    <w:rsid w:val="0028283B"/>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11671"/>
    <w:rsid w:val="00316969"/>
    <w:rsid w:val="0032150A"/>
    <w:rsid w:val="00321A3F"/>
    <w:rsid w:val="00324412"/>
    <w:rsid w:val="00324A8B"/>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6357"/>
    <w:rsid w:val="003A689F"/>
    <w:rsid w:val="003B074D"/>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3361"/>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DE8"/>
    <w:rsid w:val="00421545"/>
    <w:rsid w:val="0042449B"/>
    <w:rsid w:val="00424D3F"/>
    <w:rsid w:val="00431EF3"/>
    <w:rsid w:val="0043793A"/>
    <w:rsid w:val="00441E4C"/>
    <w:rsid w:val="00443945"/>
    <w:rsid w:val="00453727"/>
    <w:rsid w:val="00453D6B"/>
    <w:rsid w:val="0045711B"/>
    <w:rsid w:val="00457410"/>
    <w:rsid w:val="00465EFE"/>
    <w:rsid w:val="0046665C"/>
    <w:rsid w:val="00481D10"/>
    <w:rsid w:val="00482126"/>
    <w:rsid w:val="004827ED"/>
    <w:rsid w:val="00482E46"/>
    <w:rsid w:val="004839FC"/>
    <w:rsid w:val="00484510"/>
    <w:rsid w:val="00486E8A"/>
    <w:rsid w:val="00487A9A"/>
    <w:rsid w:val="00490232"/>
    <w:rsid w:val="00493921"/>
    <w:rsid w:val="00497C5D"/>
    <w:rsid w:val="004A295A"/>
    <w:rsid w:val="004A400A"/>
    <w:rsid w:val="004B1E2A"/>
    <w:rsid w:val="004B5A2A"/>
    <w:rsid w:val="004B679B"/>
    <w:rsid w:val="004B70DE"/>
    <w:rsid w:val="004C382E"/>
    <w:rsid w:val="004C4583"/>
    <w:rsid w:val="004C5BBB"/>
    <w:rsid w:val="004D0325"/>
    <w:rsid w:val="004D55DD"/>
    <w:rsid w:val="004F2A92"/>
    <w:rsid w:val="004F2F7E"/>
    <w:rsid w:val="004F5E78"/>
    <w:rsid w:val="004F7346"/>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1F44"/>
    <w:rsid w:val="00563EEC"/>
    <w:rsid w:val="0056735B"/>
    <w:rsid w:val="005679A9"/>
    <w:rsid w:val="00570BB5"/>
    <w:rsid w:val="00571A3D"/>
    <w:rsid w:val="00572935"/>
    <w:rsid w:val="00573FEF"/>
    <w:rsid w:val="005821EF"/>
    <w:rsid w:val="00583547"/>
    <w:rsid w:val="005909FC"/>
    <w:rsid w:val="00595581"/>
    <w:rsid w:val="00597610"/>
    <w:rsid w:val="005A1268"/>
    <w:rsid w:val="005A2503"/>
    <w:rsid w:val="005A29BE"/>
    <w:rsid w:val="005A5FB9"/>
    <w:rsid w:val="005B2617"/>
    <w:rsid w:val="005B5277"/>
    <w:rsid w:val="005B6071"/>
    <w:rsid w:val="005C2951"/>
    <w:rsid w:val="005C4AD6"/>
    <w:rsid w:val="005C67F0"/>
    <w:rsid w:val="005D63D6"/>
    <w:rsid w:val="005D7D06"/>
    <w:rsid w:val="005E4E31"/>
    <w:rsid w:val="005E6213"/>
    <w:rsid w:val="005F3416"/>
    <w:rsid w:val="005F5696"/>
    <w:rsid w:val="00607659"/>
    <w:rsid w:val="00610559"/>
    <w:rsid w:val="00612991"/>
    <w:rsid w:val="00613CDC"/>
    <w:rsid w:val="00621C4C"/>
    <w:rsid w:val="006240EF"/>
    <w:rsid w:val="00625656"/>
    <w:rsid w:val="00627FFC"/>
    <w:rsid w:val="00630445"/>
    <w:rsid w:val="00631A9B"/>
    <w:rsid w:val="0063705C"/>
    <w:rsid w:val="00637A53"/>
    <w:rsid w:val="00646798"/>
    <w:rsid w:val="00646B82"/>
    <w:rsid w:val="0065105B"/>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B1886"/>
    <w:rsid w:val="007B1F84"/>
    <w:rsid w:val="007B228F"/>
    <w:rsid w:val="007B60F6"/>
    <w:rsid w:val="007B74EF"/>
    <w:rsid w:val="007C33C8"/>
    <w:rsid w:val="007C5E0C"/>
    <w:rsid w:val="007D0A0C"/>
    <w:rsid w:val="007D3B21"/>
    <w:rsid w:val="007D5952"/>
    <w:rsid w:val="007D7BB3"/>
    <w:rsid w:val="007E1833"/>
    <w:rsid w:val="007F3C82"/>
    <w:rsid w:val="007F468C"/>
    <w:rsid w:val="007F7FE3"/>
    <w:rsid w:val="00810AC8"/>
    <w:rsid w:val="00811AA4"/>
    <w:rsid w:val="008237E1"/>
    <w:rsid w:val="00826E3E"/>
    <w:rsid w:val="008274C9"/>
    <w:rsid w:val="00831590"/>
    <w:rsid w:val="00834083"/>
    <w:rsid w:val="00834E5D"/>
    <w:rsid w:val="00836010"/>
    <w:rsid w:val="008411EC"/>
    <w:rsid w:val="008526EB"/>
    <w:rsid w:val="0085492C"/>
    <w:rsid w:val="0085735B"/>
    <w:rsid w:val="00857ECA"/>
    <w:rsid w:val="008669EA"/>
    <w:rsid w:val="00866EBD"/>
    <w:rsid w:val="00867C11"/>
    <w:rsid w:val="008759B9"/>
    <w:rsid w:val="00876246"/>
    <w:rsid w:val="008816A3"/>
    <w:rsid w:val="00883B85"/>
    <w:rsid w:val="00891640"/>
    <w:rsid w:val="0089569D"/>
    <w:rsid w:val="008A1DBF"/>
    <w:rsid w:val="008A77B2"/>
    <w:rsid w:val="008B197F"/>
    <w:rsid w:val="008B3DC4"/>
    <w:rsid w:val="008B4101"/>
    <w:rsid w:val="008B538B"/>
    <w:rsid w:val="008B66A8"/>
    <w:rsid w:val="008B6F89"/>
    <w:rsid w:val="008B7BD6"/>
    <w:rsid w:val="008C6050"/>
    <w:rsid w:val="008D3875"/>
    <w:rsid w:val="008E1337"/>
    <w:rsid w:val="008E19AE"/>
    <w:rsid w:val="008E3AA9"/>
    <w:rsid w:val="008F1BAC"/>
    <w:rsid w:val="008F7AB7"/>
    <w:rsid w:val="00905B96"/>
    <w:rsid w:val="00910B53"/>
    <w:rsid w:val="00917AAC"/>
    <w:rsid w:val="00933EAC"/>
    <w:rsid w:val="00950630"/>
    <w:rsid w:val="009516F6"/>
    <w:rsid w:val="009534DA"/>
    <w:rsid w:val="00957815"/>
    <w:rsid w:val="00963C34"/>
    <w:rsid w:val="00964061"/>
    <w:rsid w:val="00965AA8"/>
    <w:rsid w:val="0096622F"/>
    <w:rsid w:val="00966230"/>
    <w:rsid w:val="00970C06"/>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C5311"/>
    <w:rsid w:val="009D0068"/>
    <w:rsid w:val="009D2A21"/>
    <w:rsid w:val="009D4162"/>
    <w:rsid w:val="009D708F"/>
    <w:rsid w:val="009F0FE6"/>
    <w:rsid w:val="009F6BE5"/>
    <w:rsid w:val="00A0076F"/>
    <w:rsid w:val="00A056CF"/>
    <w:rsid w:val="00A1251E"/>
    <w:rsid w:val="00A302E1"/>
    <w:rsid w:val="00A31958"/>
    <w:rsid w:val="00A3474C"/>
    <w:rsid w:val="00A35939"/>
    <w:rsid w:val="00A3689C"/>
    <w:rsid w:val="00A523C1"/>
    <w:rsid w:val="00A56A7E"/>
    <w:rsid w:val="00A574EC"/>
    <w:rsid w:val="00A61683"/>
    <w:rsid w:val="00A6642A"/>
    <w:rsid w:val="00A664D6"/>
    <w:rsid w:val="00A67AD2"/>
    <w:rsid w:val="00A7345E"/>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707"/>
    <w:rsid w:val="00B2082E"/>
    <w:rsid w:val="00B26CA9"/>
    <w:rsid w:val="00B301D4"/>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367C"/>
    <w:rsid w:val="00C05F5B"/>
    <w:rsid w:val="00C07E89"/>
    <w:rsid w:val="00C10A74"/>
    <w:rsid w:val="00C10C7F"/>
    <w:rsid w:val="00C13697"/>
    <w:rsid w:val="00C13844"/>
    <w:rsid w:val="00C24C2F"/>
    <w:rsid w:val="00C25DED"/>
    <w:rsid w:val="00C31EB4"/>
    <w:rsid w:val="00C40342"/>
    <w:rsid w:val="00C4376E"/>
    <w:rsid w:val="00C4682A"/>
    <w:rsid w:val="00C47CD5"/>
    <w:rsid w:val="00C53F4B"/>
    <w:rsid w:val="00C6426E"/>
    <w:rsid w:val="00C71A21"/>
    <w:rsid w:val="00C76D1F"/>
    <w:rsid w:val="00C774A6"/>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4944"/>
    <w:rsid w:val="00CE7E6C"/>
    <w:rsid w:val="00CF1886"/>
    <w:rsid w:val="00CF5F8E"/>
    <w:rsid w:val="00CF7AC7"/>
    <w:rsid w:val="00D00A1A"/>
    <w:rsid w:val="00D0566B"/>
    <w:rsid w:val="00D05F47"/>
    <w:rsid w:val="00D06790"/>
    <w:rsid w:val="00D06EA0"/>
    <w:rsid w:val="00D14E12"/>
    <w:rsid w:val="00D210AF"/>
    <w:rsid w:val="00D312D5"/>
    <w:rsid w:val="00D33383"/>
    <w:rsid w:val="00D35334"/>
    <w:rsid w:val="00D3774B"/>
    <w:rsid w:val="00D407C1"/>
    <w:rsid w:val="00D40F32"/>
    <w:rsid w:val="00D41F93"/>
    <w:rsid w:val="00D43E17"/>
    <w:rsid w:val="00D47B35"/>
    <w:rsid w:val="00D47BE6"/>
    <w:rsid w:val="00D51C87"/>
    <w:rsid w:val="00D604C6"/>
    <w:rsid w:val="00D61C94"/>
    <w:rsid w:val="00D62CDE"/>
    <w:rsid w:val="00D650F9"/>
    <w:rsid w:val="00D65CD4"/>
    <w:rsid w:val="00D71F7E"/>
    <w:rsid w:val="00D73EF7"/>
    <w:rsid w:val="00D76B0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578B"/>
    <w:rsid w:val="00DD649A"/>
    <w:rsid w:val="00DE1B21"/>
    <w:rsid w:val="00DE387A"/>
    <w:rsid w:val="00DE4DA6"/>
    <w:rsid w:val="00DE58D9"/>
    <w:rsid w:val="00DF32C5"/>
    <w:rsid w:val="00DF4922"/>
    <w:rsid w:val="00DF6110"/>
    <w:rsid w:val="00E0597C"/>
    <w:rsid w:val="00E075C6"/>
    <w:rsid w:val="00E112C1"/>
    <w:rsid w:val="00E11BE8"/>
    <w:rsid w:val="00E165F4"/>
    <w:rsid w:val="00E20922"/>
    <w:rsid w:val="00E209CC"/>
    <w:rsid w:val="00E226AC"/>
    <w:rsid w:val="00E22CFA"/>
    <w:rsid w:val="00E26E28"/>
    <w:rsid w:val="00E27C58"/>
    <w:rsid w:val="00E30258"/>
    <w:rsid w:val="00E31AA4"/>
    <w:rsid w:val="00E337BA"/>
    <w:rsid w:val="00E37847"/>
    <w:rsid w:val="00E37D17"/>
    <w:rsid w:val="00E432BE"/>
    <w:rsid w:val="00E52C0C"/>
    <w:rsid w:val="00E54EC8"/>
    <w:rsid w:val="00E6277C"/>
    <w:rsid w:val="00E65494"/>
    <w:rsid w:val="00E67FB9"/>
    <w:rsid w:val="00E71ACF"/>
    <w:rsid w:val="00E762C6"/>
    <w:rsid w:val="00E86553"/>
    <w:rsid w:val="00E914B9"/>
    <w:rsid w:val="00E97757"/>
    <w:rsid w:val="00EA7687"/>
    <w:rsid w:val="00EB12AE"/>
    <w:rsid w:val="00EB2104"/>
    <w:rsid w:val="00EB467D"/>
    <w:rsid w:val="00EB5BF8"/>
    <w:rsid w:val="00EC35D2"/>
    <w:rsid w:val="00EC377B"/>
    <w:rsid w:val="00EC3B49"/>
    <w:rsid w:val="00EC50A1"/>
    <w:rsid w:val="00ED1367"/>
    <w:rsid w:val="00EE1DFA"/>
    <w:rsid w:val="00EE2055"/>
    <w:rsid w:val="00EE3782"/>
    <w:rsid w:val="00EF16B8"/>
    <w:rsid w:val="00EF1CEB"/>
    <w:rsid w:val="00EF66D0"/>
    <w:rsid w:val="00F01AB0"/>
    <w:rsid w:val="00F04A5B"/>
    <w:rsid w:val="00F05C11"/>
    <w:rsid w:val="00F11F97"/>
    <w:rsid w:val="00F149F6"/>
    <w:rsid w:val="00F22300"/>
    <w:rsid w:val="00F25964"/>
    <w:rsid w:val="00F26786"/>
    <w:rsid w:val="00F30833"/>
    <w:rsid w:val="00F30C33"/>
    <w:rsid w:val="00F330B0"/>
    <w:rsid w:val="00F33F55"/>
    <w:rsid w:val="00F3736B"/>
    <w:rsid w:val="00F41E75"/>
    <w:rsid w:val="00F428EA"/>
    <w:rsid w:val="00F50961"/>
    <w:rsid w:val="00F53083"/>
    <w:rsid w:val="00F55609"/>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43A7E60-0B69-4D40-90EB-31E86B05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EE91-3C2B-44AF-A2CA-69AA357C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10794</Words>
  <Characters>61529</Characters>
  <Application>Microsoft Office Word</Application>
  <DocSecurity>0</DocSecurity>
  <Lines>512</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2020-10-13T14:04:00Z</dcterms:created>
  <dcterms:modified xsi:type="dcterms:W3CDTF">2020-10-13T14:04:00Z</dcterms:modified>
</cp:coreProperties>
</file>